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16D9" w14:textId="77777777" w:rsidR="0016505F" w:rsidRPr="0016505F" w:rsidRDefault="00E41BBE" w:rsidP="0016505F">
      <w:pPr>
        <w:pStyle w:val="AnzjesArticleTitle"/>
      </w:pPr>
      <w:bookmarkStart w:id="0" w:name="_Toc98334768"/>
      <w:r>
        <w:t xml:space="preserve">Title of </w:t>
      </w:r>
      <w:r w:rsidR="000B7CCF">
        <w:t>paper</w:t>
      </w:r>
      <w:r w:rsidR="0016505F">
        <w:t xml:space="preserve"> in sentence case</w:t>
      </w:r>
      <w:r>
        <w:t xml:space="preserve">: </w:t>
      </w:r>
      <w:r w:rsidR="0016505F">
        <w:t xml:space="preserve">Capitalise </w:t>
      </w:r>
      <w:r>
        <w:t>only the first word, proper nouns, and the first word after a colon</w:t>
      </w:r>
      <w:r w:rsidR="0016505F">
        <w:t xml:space="preserve"> </w:t>
      </w:r>
      <w:r w:rsidR="0016505F" w:rsidRPr="0016505F">
        <w:rPr>
          <w:color w:val="FF0000"/>
        </w:rPr>
        <w:t>(Style: Anzjes_ArticleTitle)</w:t>
      </w:r>
      <w:bookmarkEnd w:id="0"/>
    </w:p>
    <w:p w14:paraId="11AF6717" w14:textId="77777777" w:rsidR="005E3145" w:rsidRPr="006515FB" w:rsidRDefault="00E41BBE" w:rsidP="00CE7D43">
      <w:pPr>
        <w:pStyle w:val="AnzjesAuthorName"/>
      </w:pPr>
      <w:bookmarkStart w:id="1" w:name="_Toc98334769"/>
      <w:r>
        <w:t>Author 1 Na</w:t>
      </w:r>
      <w:r w:rsidR="0016505F">
        <w:t>me in Title Case</w:t>
      </w:r>
      <w:r>
        <w:t xml:space="preserve"> </w:t>
      </w:r>
      <w:r w:rsidRPr="00E41BBE">
        <w:rPr>
          <w:color w:val="FF0000"/>
        </w:rPr>
        <w:t>(</w:t>
      </w:r>
      <w:r w:rsidR="0016505F">
        <w:rPr>
          <w:color w:val="FF0000"/>
        </w:rPr>
        <w:t>S</w:t>
      </w:r>
      <w:r w:rsidRPr="00E41BBE">
        <w:rPr>
          <w:color w:val="FF0000"/>
        </w:rPr>
        <w:t>tyle: Anzjes_AuthorName)</w:t>
      </w:r>
      <w:bookmarkEnd w:id="1"/>
    </w:p>
    <w:p w14:paraId="1112922F" w14:textId="77777777" w:rsidR="005E3145" w:rsidRPr="006515FB" w:rsidRDefault="00E41BBE" w:rsidP="00CE7D43">
      <w:pPr>
        <w:pStyle w:val="AnzjesAuthorAffiliation"/>
      </w:pPr>
      <w:r>
        <w:t xml:space="preserve">Author 1 </w:t>
      </w:r>
      <w:r w:rsidR="0016505F">
        <w:t>A</w:t>
      </w:r>
      <w:r>
        <w:t xml:space="preserve">ffiliation </w:t>
      </w:r>
      <w:r w:rsidRPr="00E41BBE">
        <w:rPr>
          <w:color w:val="FF0000"/>
        </w:rPr>
        <w:t>(Style: Anzjes_AuthorAffiliation)</w:t>
      </w:r>
    </w:p>
    <w:p w14:paraId="107ECABA" w14:textId="77777777" w:rsidR="005E3145" w:rsidRPr="006515FB" w:rsidRDefault="00E41BBE" w:rsidP="005E3145">
      <w:pPr>
        <w:pStyle w:val="AnzjesAuthorEmail"/>
      </w:pPr>
      <w:r w:rsidRPr="008008FD">
        <w:t>author1email@</w:t>
      </w:r>
      <w:r w:rsidR="0016505F">
        <w:t>sample</w:t>
      </w:r>
      <w:r w:rsidR="00183958">
        <w:t>.com</w:t>
      </w:r>
      <w:r>
        <w:t xml:space="preserve"> </w:t>
      </w:r>
      <w:r w:rsidR="005E3145" w:rsidRPr="00E41BBE">
        <w:rPr>
          <w:color w:val="FF0000"/>
        </w:rPr>
        <w:t>(Style: Anzjes_AuthorEmail)</w:t>
      </w:r>
    </w:p>
    <w:p w14:paraId="6B33F724" w14:textId="77777777" w:rsidR="005E3145" w:rsidRPr="00407E69" w:rsidRDefault="0016505F" w:rsidP="00407E69">
      <w:pPr>
        <w:pStyle w:val="AnzjesAuthorName"/>
      </w:pPr>
      <w:bookmarkStart w:id="2" w:name="_Toc98334770"/>
      <w:r>
        <w:t>Author 2 Name in Title Case</w:t>
      </w:r>
      <w:bookmarkEnd w:id="2"/>
    </w:p>
    <w:p w14:paraId="439D1B69" w14:textId="77777777" w:rsidR="005E3145" w:rsidRPr="006515FB" w:rsidRDefault="0016505F" w:rsidP="005E3145">
      <w:pPr>
        <w:pStyle w:val="AnzjesAuthorAffiliation"/>
      </w:pPr>
      <w:r>
        <w:t>Author 2 Affiliation</w:t>
      </w:r>
    </w:p>
    <w:p w14:paraId="7D316461" w14:textId="77777777" w:rsidR="005E3145" w:rsidRPr="006515FB" w:rsidRDefault="0016505F" w:rsidP="005E3145">
      <w:pPr>
        <w:pStyle w:val="AnzjesAuthorEmail"/>
      </w:pPr>
      <w:r>
        <w:t>author2email</w:t>
      </w:r>
      <w:r w:rsidR="005E3145" w:rsidRPr="006515FB">
        <w:t>@</w:t>
      </w:r>
      <w:r>
        <w:t>sample</w:t>
      </w:r>
      <w:r w:rsidR="00183958">
        <w:t>.com</w:t>
      </w:r>
    </w:p>
    <w:p w14:paraId="6AE4EA40" w14:textId="77777777" w:rsidR="000D4D1C" w:rsidRPr="006515FB" w:rsidRDefault="000D4D1C" w:rsidP="000D4D1C">
      <w:pPr>
        <w:pStyle w:val="AnzjesAbstractHead"/>
        <w:rPr>
          <w:color w:val="FF0000"/>
        </w:rPr>
      </w:pPr>
      <w:r w:rsidRPr="006515FB">
        <w:t xml:space="preserve">Abstract </w:t>
      </w:r>
      <w:r w:rsidRPr="006515FB">
        <w:rPr>
          <w:color w:val="FF0000"/>
        </w:rPr>
        <w:t>(Style: Anzjes_AbstractHead)</w:t>
      </w:r>
    </w:p>
    <w:p w14:paraId="6AFB93C1" w14:textId="77777777" w:rsidR="000D4D1C" w:rsidRPr="006515FB" w:rsidRDefault="00804FEE" w:rsidP="000D4D1C">
      <w:pPr>
        <w:pStyle w:val="AnzjesAbstractText"/>
        <w:rPr>
          <w:b/>
        </w:rPr>
      </w:pPr>
      <w:r>
        <w:t xml:space="preserve">The abstract should be </w:t>
      </w:r>
      <w:r w:rsidR="00DA0C9B">
        <w:t xml:space="preserve">no more than 150 words. </w:t>
      </w:r>
      <w:r w:rsidR="000B7CCF">
        <w:t>The purpose of this</w:t>
      </w:r>
      <w:r w:rsidR="000B7CCF" w:rsidRPr="000B7CCF">
        <w:t xml:space="preserve"> </w:t>
      </w:r>
      <w:r w:rsidR="000B7CCF">
        <w:t>template</w:t>
      </w:r>
      <w:r w:rsidR="00DA0C9B">
        <w:t xml:space="preserve"> document</w:t>
      </w:r>
      <w:r w:rsidR="000B7CCF" w:rsidRPr="000B7CCF">
        <w:t xml:space="preserve"> is to </w:t>
      </w:r>
      <w:r w:rsidR="000B7CCF">
        <w:t>specify</w:t>
      </w:r>
      <w:r w:rsidR="000B7CCF" w:rsidRPr="000B7CCF">
        <w:t xml:space="preserve"> </w:t>
      </w:r>
      <w:r w:rsidR="000B7CCF">
        <w:t>the</w:t>
      </w:r>
      <w:r w:rsidR="000B7CCF" w:rsidRPr="000B7CCF">
        <w:t xml:space="preserve"> </w:t>
      </w:r>
      <w:r w:rsidR="00D40445">
        <w:t xml:space="preserve">formatting and </w:t>
      </w:r>
      <w:r w:rsidR="000B7CCF" w:rsidRPr="000B7CCF">
        <w:t>style</w:t>
      </w:r>
      <w:r w:rsidR="000B7CCF">
        <w:t>s</w:t>
      </w:r>
      <w:r w:rsidR="000B7CCF" w:rsidRPr="000B7CCF">
        <w:t xml:space="preserve"> to be used for </w:t>
      </w:r>
      <w:r w:rsidR="000B7CCF">
        <w:t xml:space="preserve">articles submitted to the </w:t>
      </w:r>
      <w:r w:rsidR="000B7CCF" w:rsidRPr="00AE3AB8">
        <w:rPr>
          <w:i w:val="0"/>
          <w:iCs/>
        </w:rPr>
        <w:t>Australian and New Zealand Journal of European Studies</w:t>
      </w:r>
      <w:r w:rsidR="000B7CCF">
        <w:t xml:space="preserve"> (ANZJES)</w:t>
      </w:r>
      <w:r w:rsidR="000B7CCF" w:rsidRPr="000B7CCF">
        <w:t xml:space="preserve">. This template document is itself an example of the format it specifies. </w:t>
      </w:r>
      <w:r w:rsidR="00DA0C9B">
        <w:t>The document</w:t>
      </w:r>
      <w:r w:rsidR="000B7CCF" w:rsidRPr="000B7CCF">
        <w:t xml:space="preserve"> contains M</w:t>
      </w:r>
      <w:r w:rsidR="00892197">
        <w:t>icrosoft</w:t>
      </w:r>
      <w:r w:rsidR="000B7CCF" w:rsidRPr="000B7CCF">
        <w:t xml:space="preserve"> Word Styles </w:t>
      </w:r>
      <w:r w:rsidR="00892197">
        <w:t>you</w:t>
      </w:r>
      <w:r w:rsidR="000B7CCF" w:rsidRPr="000B7CCF">
        <w:t xml:space="preserve"> can use to format </w:t>
      </w:r>
      <w:r w:rsidR="00892197">
        <w:t>your</w:t>
      </w:r>
      <w:r w:rsidR="000B7CCF" w:rsidRPr="000B7CCF">
        <w:t xml:space="preserve"> paper quickly and </w:t>
      </w:r>
      <w:r w:rsidR="00892197">
        <w:t>consistently</w:t>
      </w:r>
      <w:r w:rsidR="000B7CCF" w:rsidRPr="000B7CCF">
        <w:t>.</w:t>
      </w:r>
      <w:r w:rsidR="00892197">
        <w:t xml:space="preserve"> </w:t>
      </w:r>
      <w:r w:rsidR="00DA0C9B">
        <w:t>It</w:t>
      </w:r>
      <w:r w:rsidR="00892197">
        <w:t xml:space="preserve"> </w:t>
      </w:r>
      <w:r w:rsidR="00D40445">
        <w:t>introduces the concepts of</w:t>
      </w:r>
      <w:r w:rsidR="00892197">
        <w:t xml:space="preserve"> formatting</w:t>
      </w:r>
      <w:r w:rsidR="00D40445">
        <w:t xml:space="preserve"> and styles</w:t>
      </w:r>
      <w:r w:rsidR="00892197">
        <w:t xml:space="preserve"> and explains step</w:t>
      </w:r>
      <w:r w:rsidR="00914DE1">
        <w:t xml:space="preserve"> </w:t>
      </w:r>
      <w:r w:rsidR="00892197">
        <w:t>by</w:t>
      </w:r>
      <w:r w:rsidR="00914DE1">
        <w:t xml:space="preserve"> </w:t>
      </w:r>
      <w:r w:rsidR="00892197">
        <w:t xml:space="preserve">step how to format your paper using the styles available in this </w:t>
      </w:r>
      <w:r w:rsidR="001F78FE">
        <w:t>template</w:t>
      </w:r>
      <w:r w:rsidR="00892197">
        <w:t>.</w:t>
      </w:r>
      <w:r w:rsidR="000D4D1C">
        <w:t xml:space="preserve"> </w:t>
      </w:r>
      <w:r w:rsidR="00892197">
        <w:t>The style name for each element</w:t>
      </w:r>
      <w:r w:rsidR="00914DE1">
        <w:t xml:space="preserve"> of the paper</w:t>
      </w:r>
      <w:r w:rsidR="00892197">
        <w:t xml:space="preserve"> is shown in red where each style is first introduced.</w:t>
      </w:r>
      <w:r w:rsidR="004B61FB">
        <w:t xml:space="preserve"> This document also includes general editorial style guidelines for papers submitted to the journal.</w:t>
      </w:r>
      <w:r w:rsidR="00892197">
        <w:t xml:space="preserve"> </w:t>
      </w:r>
      <w:r w:rsidR="000D4D1C" w:rsidRPr="006515FB">
        <w:rPr>
          <w:color w:val="FF0000"/>
        </w:rPr>
        <w:t>(Style: Anzjes_AbstractText)</w:t>
      </w:r>
    </w:p>
    <w:p w14:paraId="506052B7" w14:textId="77777777" w:rsidR="000D4D1C" w:rsidRPr="006515FB" w:rsidRDefault="000D4D1C" w:rsidP="000D4D1C">
      <w:pPr>
        <w:pStyle w:val="AnzjesKeywordsHead"/>
        <w:rPr>
          <w:vanish/>
          <w:specVanish/>
        </w:rPr>
      </w:pPr>
      <w:r w:rsidRPr="006515FB">
        <w:t>Keywords:</w:t>
      </w:r>
    </w:p>
    <w:p w14:paraId="1A521D36" w14:textId="77777777" w:rsidR="000D4D1C" w:rsidRPr="006515FB" w:rsidRDefault="000D4D1C" w:rsidP="000D4D1C">
      <w:pPr>
        <w:pStyle w:val="AnzjesKeywords"/>
      </w:pPr>
      <w:r w:rsidRPr="000D4D1C">
        <w:t xml:space="preserve"> ke</w:t>
      </w:r>
      <w:r>
        <w:t>yword 1</w:t>
      </w:r>
      <w:r w:rsidRPr="006515FB">
        <w:t xml:space="preserve">, </w:t>
      </w:r>
      <w:r>
        <w:t>keyword 2</w:t>
      </w:r>
      <w:r w:rsidRPr="006515FB">
        <w:t xml:space="preserve">, </w:t>
      </w:r>
      <w:r>
        <w:t>keyword 3</w:t>
      </w:r>
      <w:r w:rsidRPr="006515FB">
        <w:t xml:space="preserve">, </w:t>
      </w:r>
      <w:r>
        <w:t>keyword 4</w:t>
      </w:r>
      <w:r w:rsidR="001479A6">
        <w:t xml:space="preserve"> </w:t>
      </w:r>
      <w:r w:rsidR="000661B2">
        <w:t xml:space="preserve">[include </w:t>
      </w:r>
      <w:r w:rsidR="00E02C42">
        <w:t>four</w:t>
      </w:r>
      <w:r w:rsidR="002A4E48" w:rsidRPr="002A4E48">
        <w:t xml:space="preserve"> to </w:t>
      </w:r>
      <w:r w:rsidR="00E02C42">
        <w:t>five</w:t>
      </w:r>
      <w:r w:rsidR="001479A6" w:rsidRPr="002A4E48">
        <w:t xml:space="preserve"> keywords</w:t>
      </w:r>
      <w:r w:rsidR="000661B2">
        <w:t xml:space="preserve"> arranged in alphabetical order</w:t>
      </w:r>
      <w:r w:rsidR="00E00186">
        <w:t xml:space="preserve"> and separated with commas</w:t>
      </w:r>
      <w:r w:rsidR="000661B2">
        <w:t>]</w:t>
      </w:r>
      <w:r w:rsidRPr="006515FB">
        <w:t xml:space="preserve"> </w:t>
      </w:r>
      <w:r w:rsidRPr="006515FB">
        <w:rPr>
          <w:color w:val="FF0000"/>
        </w:rPr>
        <w:t>(Style</w:t>
      </w:r>
      <w:r w:rsidR="00AF61E0">
        <w:rPr>
          <w:color w:val="FF0000"/>
        </w:rPr>
        <w:t>:</w:t>
      </w:r>
      <w:r w:rsidRPr="006515FB">
        <w:rPr>
          <w:color w:val="FF0000"/>
        </w:rPr>
        <w:t xml:space="preserve"> Anzjes_Keywords)</w:t>
      </w:r>
    </w:p>
    <w:p w14:paraId="5B375537" w14:textId="77777777" w:rsidR="000151F2" w:rsidRPr="006515FB" w:rsidRDefault="000151F2" w:rsidP="00994ADD">
      <w:pPr>
        <w:pStyle w:val="AnzjesHeading2"/>
        <w:tabs>
          <w:tab w:val="left" w:pos="4253"/>
        </w:tabs>
      </w:pPr>
      <w:r w:rsidRPr="006515FB">
        <w:t>Introduction</w:t>
      </w:r>
      <w:r w:rsidR="003777B7" w:rsidRPr="006515FB">
        <w:t xml:space="preserve"> </w:t>
      </w:r>
      <w:r w:rsidR="00994ADD" w:rsidRPr="006515FB">
        <w:rPr>
          <w:color w:val="FF0000"/>
        </w:rPr>
        <w:t>(Style: Anzjes_</w:t>
      </w:r>
      <w:r w:rsidR="00490B43" w:rsidRPr="006515FB">
        <w:rPr>
          <w:color w:val="FF0000"/>
        </w:rPr>
        <w:t>Heading2</w:t>
      </w:r>
      <w:r w:rsidR="00994ADD" w:rsidRPr="006515FB">
        <w:rPr>
          <w:color w:val="FF0000"/>
        </w:rPr>
        <w:t>)</w:t>
      </w:r>
    </w:p>
    <w:p w14:paraId="74CD0C73" w14:textId="77777777" w:rsidR="000151F2" w:rsidRDefault="001479A6" w:rsidP="001479A6">
      <w:pPr>
        <w:pStyle w:val="AnzjesBody"/>
      </w:pPr>
      <w:r>
        <w:t xml:space="preserve">This </w:t>
      </w:r>
      <w:r w:rsidR="0019173E">
        <w:t>template document</w:t>
      </w:r>
      <w:r>
        <w:t xml:space="preserve"> </w:t>
      </w:r>
      <w:r w:rsidR="001F78FE">
        <w:t>specifies</w:t>
      </w:r>
      <w:r>
        <w:t xml:space="preserve"> the formatting</w:t>
      </w:r>
      <w:r w:rsidR="000D4C4D">
        <w:t xml:space="preserve"> and styles</w:t>
      </w:r>
      <w:r w:rsidR="001F78FE">
        <w:t xml:space="preserve"> to be used for articles submitted to the </w:t>
      </w:r>
      <w:r w:rsidR="001F78FE" w:rsidRPr="001F78FE">
        <w:rPr>
          <w:i/>
          <w:iCs/>
        </w:rPr>
        <w:t>Australian and New Zealand Journal of European Studies</w:t>
      </w:r>
      <w:r w:rsidR="001F78FE">
        <w:t xml:space="preserve"> (ANZJES).</w:t>
      </w:r>
      <w:r>
        <w:t xml:space="preserve"> </w:t>
      </w:r>
      <w:r w:rsidR="004F4DF3">
        <w:t>It describes</w:t>
      </w:r>
      <w:r>
        <w:t xml:space="preserve"> how to use the template as a </w:t>
      </w:r>
      <w:r w:rsidR="0095785E">
        <w:t>“</w:t>
      </w:r>
      <w:r>
        <w:t>shell</w:t>
      </w:r>
      <w:r w:rsidR="0095785E">
        <w:t>”</w:t>
      </w:r>
      <w:r>
        <w:t xml:space="preserve"> so you</w:t>
      </w:r>
      <w:r w:rsidR="00A90BA1">
        <w:t>r paper will be formatted correctly</w:t>
      </w:r>
      <w:r>
        <w:t>.</w:t>
      </w:r>
      <w:r w:rsidR="00A90BA1">
        <w:t xml:space="preserve"> </w:t>
      </w:r>
      <w:r>
        <w:t xml:space="preserve">If you have already written your paper, simply copy and paste it into this template and then apply the appropriate styles. Step-by-step instructions for doing this are provided in the </w:t>
      </w:r>
      <w:r w:rsidR="0095785E">
        <w:t>“</w:t>
      </w:r>
      <w:r w:rsidR="004A66B5">
        <w:t>ANZJES f</w:t>
      </w:r>
      <w:r>
        <w:t>ormatting specifications and instructions</w:t>
      </w:r>
      <w:r w:rsidR="0095785E">
        <w:t>”</w:t>
      </w:r>
      <w:r>
        <w:t xml:space="preserve"> section below.</w:t>
      </w:r>
      <w:r w:rsidR="004F4DF3">
        <w:t xml:space="preserve"> The final section of this template provides general editorial style guidelines for papers submitted to the journal.</w:t>
      </w:r>
      <w:r w:rsidR="004B61FB">
        <w:t xml:space="preserve"> </w:t>
      </w:r>
      <w:r w:rsidR="004B61FB" w:rsidRPr="0016505F">
        <w:rPr>
          <w:color w:val="FF0000"/>
        </w:rPr>
        <w:t>(Style: Anzjes_Body)</w:t>
      </w:r>
    </w:p>
    <w:p w14:paraId="79638013" w14:textId="77777777" w:rsidR="0095785E" w:rsidRPr="0095785E" w:rsidRDefault="004A66B5" w:rsidP="0095785E">
      <w:pPr>
        <w:pStyle w:val="AnzjesHeading2"/>
      </w:pPr>
      <w:bookmarkStart w:id="3" w:name="_Toc480724443"/>
      <w:bookmarkStart w:id="4" w:name="_Toc488955947"/>
      <w:bookmarkStart w:id="5" w:name="_Toc480724438"/>
      <w:r>
        <w:t>Introduction to f</w:t>
      </w:r>
      <w:r w:rsidR="0095785E" w:rsidRPr="0095785E">
        <w:t>ormatting</w:t>
      </w:r>
      <w:bookmarkEnd w:id="3"/>
      <w:bookmarkEnd w:id="4"/>
      <w:r w:rsidR="002A4E48">
        <w:t xml:space="preserve"> and styles</w:t>
      </w:r>
    </w:p>
    <w:p w14:paraId="7935531B" w14:textId="77777777" w:rsidR="0095785E" w:rsidRPr="0095785E" w:rsidRDefault="0095785E" w:rsidP="0095785E">
      <w:pPr>
        <w:pStyle w:val="AnzjesBody"/>
      </w:pPr>
      <w:r w:rsidRPr="0095785E">
        <w:t xml:space="preserve">The appearance of a document depends on its </w:t>
      </w:r>
      <w:r w:rsidRPr="0095785E">
        <w:rPr>
          <w:i/>
          <w:iCs/>
        </w:rPr>
        <w:t>format</w:t>
      </w:r>
      <w:r w:rsidR="00D40445">
        <w:rPr>
          <w:i/>
          <w:iCs/>
        </w:rPr>
        <w:t>ting</w:t>
      </w:r>
      <w:r w:rsidR="002A4E48">
        <w:rPr>
          <w:i/>
          <w:iCs/>
        </w:rPr>
        <w:t xml:space="preserve"> </w:t>
      </w:r>
      <w:r w:rsidR="002A4E48">
        <w:t xml:space="preserve">and </w:t>
      </w:r>
      <w:r w:rsidR="002A4E48" w:rsidRPr="002A4E48">
        <w:rPr>
          <w:i/>
          <w:iCs/>
        </w:rPr>
        <w:t>style</w:t>
      </w:r>
      <w:r w:rsidRPr="0095785E">
        <w:t>:</w:t>
      </w:r>
    </w:p>
    <w:p w14:paraId="0DC23CE8" w14:textId="77777777" w:rsidR="002A4E48" w:rsidRPr="0095785E" w:rsidRDefault="002A4E48" w:rsidP="002A4E48">
      <w:pPr>
        <w:pStyle w:val="AnzjesBullet"/>
      </w:pPr>
      <w:r w:rsidRPr="0095785E">
        <w:rPr>
          <w:i/>
          <w:iCs/>
        </w:rPr>
        <w:t>Format</w:t>
      </w:r>
      <w:r w:rsidR="00D40445">
        <w:rPr>
          <w:i/>
          <w:iCs/>
        </w:rPr>
        <w:t>ting</w:t>
      </w:r>
      <w:r w:rsidRPr="0095785E">
        <w:t xml:space="preserve"> refers to the way words</w:t>
      </w:r>
      <w:r>
        <w:t>,</w:t>
      </w:r>
      <w:r w:rsidRPr="0095785E">
        <w:t xml:space="preserve"> symbols </w:t>
      </w:r>
      <w:r>
        <w:t xml:space="preserve">and other elements of a document </w:t>
      </w:r>
      <w:r w:rsidRPr="0095785E">
        <w:t>are laid out on the page.</w:t>
      </w:r>
      <w:r w:rsidR="00D40445">
        <w:t xml:space="preserve"> This may include</w:t>
      </w:r>
      <w:r w:rsidR="00D40445" w:rsidRPr="00D40445">
        <w:t xml:space="preserve"> such features as font styles, sizes and attributes (boldface, italics, colour, etc.); line spacing (single, double, etc.); vertical and horizontal alignment of text or visual elements; tabs and indents; borders and shading; bullets and numbering; and page layout, margins and white space (blank areas of a page)</w:t>
      </w:r>
      <w:r w:rsidR="000D4C4D">
        <w:t>.</w:t>
      </w:r>
      <w:r w:rsidR="00D40445" w:rsidRPr="00D40445">
        <w:t xml:space="preserve"> </w:t>
      </w:r>
      <w:r w:rsidRPr="006C67C4">
        <w:rPr>
          <w:color w:val="FF0000"/>
        </w:rPr>
        <w:t>(Style: Anzjes_Bullet)</w:t>
      </w:r>
    </w:p>
    <w:p w14:paraId="6FA73AC3" w14:textId="77777777" w:rsidR="0095785E" w:rsidRPr="0095785E" w:rsidRDefault="0095785E" w:rsidP="0095785E">
      <w:pPr>
        <w:pStyle w:val="AnzjesBullet"/>
      </w:pPr>
      <w:r w:rsidRPr="0095785E">
        <w:rPr>
          <w:i/>
          <w:iCs/>
        </w:rPr>
        <w:lastRenderedPageBreak/>
        <w:t>Style</w:t>
      </w:r>
      <w:r w:rsidRPr="0095785E">
        <w:t xml:space="preserve"> </w:t>
      </w:r>
      <w:r w:rsidR="00C1752E">
        <w:t xml:space="preserve">usually </w:t>
      </w:r>
      <w:r w:rsidRPr="0095785E">
        <w:t xml:space="preserve">refers to the way words and symbols are used, irrespective of how they are laid out on the page. In word processing software, however, </w:t>
      </w:r>
      <w:r w:rsidRPr="0095785E">
        <w:rPr>
          <w:i/>
        </w:rPr>
        <w:t>Styles</w:t>
      </w:r>
      <w:r w:rsidRPr="0095785E">
        <w:t xml:space="preserve"> are sets of predefined formats.</w:t>
      </w:r>
      <w:r w:rsidR="001B3E42">
        <w:t xml:space="preserve"> </w:t>
      </w:r>
      <w:r w:rsidR="0019173E">
        <w:t xml:space="preserve">Word </w:t>
      </w:r>
      <w:r w:rsidR="001B3E42" w:rsidRPr="0095785E">
        <w:t xml:space="preserve">Styles enable you to format text in one step without having to format font, </w:t>
      </w:r>
      <w:r w:rsidR="001B3E42">
        <w:t>alignment, line spacing</w:t>
      </w:r>
      <w:r w:rsidR="001B3E42" w:rsidRPr="0095785E">
        <w:t>, and so on separately.</w:t>
      </w:r>
    </w:p>
    <w:p w14:paraId="7D864AAA" w14:textId="77777777" w:rsidR="0095785E" w:rsidRPr="0095785E" w:rsidRDefault="00B65323" w:rsidP="0095785E">
      <w:pPr>
        <w:pStyle w:val="AnzjesBody"/>
      </w:pPr>
      <w:r w:rsidRPr="00B65323">
        <w:t xml:space="preserve">Both </w:t>
      </w:r>
      <w:r>
        <w:t>formatting and style</w:t>
      </w:r>
      <w:r w:rsidR="00387E2E">
        <w:t xml:space="preserve"> guidelines</w:t>
      </w:r>
      <w:r>
        <w:t xml:space="preserve"> are</w:t>
      </w:r>
      <w:r w:rsidRPr="00B65323">
        <w:t xml:space="preserve"> specified in this document, which has </w:t>
      </w:r>
      <w:r w:rsidR="0095785E" w:rsidRPr="0095785E">
        <w:t>three purposes:</w:t>
      </w:r>
    </w:p>
    <w:p w14:paraId="23EB5777" w14:textId="77777777" w:rsidR="0095785E" w:rsidRPr="0095785E" w:rsidRDefault="0095785E" w:rsidP="002418E0">
      <w:pPr>
        <w:pStyle w:val="AnzjesBullet"/>
      </w:pPr>
      <w:r w:rsidRPr="0095785E">
        <w:t xml:space="preserve">to specify a uniform format for </w:t>
      </w:r>
      <w:r w:rsidR="00C1752E">
        <w:t xml:space="preserve">articles submitted to the </w:t>
      </w:r>
      <w:r w:rsidR="00C1752E" w:rsidRPr="004559EB">
        <w:rPr>
          <w:i/>
          <w:iCs/>
        </w:rPr>
        <w:t>Australian and New Zealand Journal of European Studies</w:t>
      </w:r>
      <w:r w:rsidR="00C1752E" w:rsidRPr="00C1752E">
        <w:t xml:space="preserve"> </w:t>
      </w:r>
      <w:r w:rsidR="004559EB">
        <w:t>(</w:t>
      </w:r>
      <w:r w:rsidR="00C1752E">
        <w:t>ANZJES</w:t>
      </w:r>
      <w:r w:rsidR="004559EB">
        <w:t>);</w:t>
      </w:r>
    </w:p>
    <w:p w14:paraId="168745E0" w14:textId="77777777" w:rsidR="0095785E" w:rsidRPr="0095785E" w:rsidRDefault="0095785E" w:rsidP="002418E0">
      <w:pPr>
        <w:pStyle w:val="AnzjesBullet"/>
      </w:pPr>
      <w:r w:rsidRPr="0095785E">
        <w:t>to provide instructions on how to achieve this format with the minimum of effort, using the Styles feature of Word</w:t>
      </w:r>
      <w:r w:rsidR="004559EB">
        <w:t>; and</w:t>
      </w:r>
    </w:p>
    <w:p w14:paraId="5E906D74" w14:textId="77777777" w:rsidR="0095785E" w:rsidRPr="0095785E" w:rsidRDefault="0095785E" w:rsidP="002418E0">
      <w:pPr>
        <w:pStyle w:val="AnzjesBullet"/>
      </w:pPr>
      <w:r w:rsidRPr="0095785E">
        <w:t xml:space="preserve">to reiterate </w:t>
      </w:r>
      <w:r w:rsidR="00387E2E">
        <w:t xml:space="preserve">and expand on </w:t>
      </w:r>
      <w:r w:rsidR="004559EB">
        <w:t xml:space="preserve">the journal’s </w:t>
      </w:r>
      <w:r w:rsidRPr="0095785E">
        <w:t xml:space="preserve">style </w:t>
      </w:r>
      <w:r w:rsidR="004559EB">
        <w:t>preferences</w:t>
      </w:r>
      <w:r w:rsidRPr="0095785E">
        <w:t xml:space="preserve"> as laid out in the </w:t>
      </w:r>
      <w:r w:rsidR="004559EB">
        <w:rPr>
          <w:i/>
        </w:rPr>
        <w:t xml:space="preserve">ANZJES Style Guide </w:t>
      </w:r>
      <w:r w:rsidR="004559EB">
        <w:rPr>
          <w:iCs/>
        </w:rPr>
        <w:t xml:space="preserve">(available to download from the </w:t>
      </w:r>
      <w:hyperlink r:id="rId8" w:anchor="onlineSubmissions" w:history="1">
        <w:r w:rsidR="004559EB" w:rsidRPr="004559EB">
          <w:rPr>
            <w:rStyle w:val="Hyperlink"/>
            <w:rFonts w:ascii="Georgia" w:hAnsi="Georgia"/>
            <w:iCs/>
            <w:sz w:val="24"/>
          </w:rPr>
          <w:t>Submissions page</w:t>
        </w:r>
      </w:hyperlink>
      <w:r w:rsidR="004559EB">
        <w:rPr>
          <w:iCs/>
        </w:rPr>
        <w:t xml:space="preserve"> of the website)</w:t>
      </w:r>
      <w:r w:rsidRPr="0095785E">
        <w:t>.</w:t>
      </w:r>
    </w:p>
    <w:p w14:paraId="65C3D521" w14:textId="77777777" w:rsidR="0095785E" w:rsidRPr="0095785E" w:rsidRDefault="0095785E" w:rsidP="0095785E">
      <w:pPr>
        <w:pStyle w:val="AnzjesBody"/>
      </w:pPr>
      <w:r w:rsidRPr="0095785E">
        <w:t xml:space="preserve">This document is itself prepared according to these specifications and contains all the necessary </w:t>
      </w:r>
      <w:r w:rsidR="00EF6A4A">
        <w:t>styles to format your manuscript correctly</w:t>
      </w:r>
      <w:r w:rsidRPr="0095785E">
        <w:t>.</w:t>
      </w:r>
    </w:p>
    <w:p w14:paraId="24D43299" w14:textId="77777777" w:rsidR="0095785E" w:rsidRPr="0095785E" w:rsidRDefault="00B65323" w:rsidP="006C67C4">
      <w:pPr>
        <w:pStyle w:val="AnzjesHeading2"/>
      </w:pPr>
      <w:bookmarkStart w:id="6" w:name="_Toc488955948"/>
      <w:r>
        <w:t>ANZJES f</w:t>
      </w:r>
      <w:r w:rsidR="0095785E" w:rsidRPr="0095785E">
        <w:t>ormatting specifications and instructions</w:t>
      </w:r>
      <w:bookmarkEnd w:id="5"/>
      <w:bookmarkEnd w:id="6"/>
    </w:p>
    <w:p w14:paraId="7BA5E8BA" w14:textId="77777777" w:rsidR="0095785E" w:rsidRPr="0095785E" w:rsidRDefault="00BC7FE7" w:rsidP="0095785E">
      <w:pPr>
        <w:pStyle w:val="AnzjesBody"/>
      </w:pPr>
      <w:r>
        <w:t xml:space="preserve">Please prepare your </w:t>
      </w:r>
      <w:r w:rsidR="00D11CF6">
        <w:t>manuscript</w:t>
      </w:r>
      <w:r w:rsidR="0095785E" w:rsidRPr="0095785E">
        <w:t xml:space="preserve"> </w:t>
      </w:r>
      <w:r w:rsidR="00C93D82">
        <w:t>using</w:t>
      </w:r>
      <w:r w:rsidR="0095785E" w:rsidRPr="0095785E">
        <w:t xml:space="preserve"> Microsoft Word </w:t>
      </w:r>
      <w:r w:rsidR="00C93D82">
        <w:t>in</w:t>
      </w:r>
      <w:r w:rsidR="0095785E" w:rsidRPr="0095785E">
        <w:t xml:space="preserve"> either Windows or Macintosh format. The following</w:t>
      </w:r>
      <w:r w:rsidR="00C93D82">
        <w:t xml:space="preserve"> instructions are</w:t>
      </w:r>
      <w:r w:rsidR="0095785E" w:rsidRPr="0095785E">
        <w:t xml:space="preserve"> written for Windows and may need to be adapted for Macintosh.</w:t>
      </w:r>
    </w:p>
    <w:p w14:paraId="26DE1CE9" w14:textId="77777777" w:rsidR="0095785E" w:rsidRPr="0095785E" w:rsidRDefault="0095785E" w:rsidP="0095785E">
      <w:pPr>
        <w:pStyle w:val="AnzjesBody"/>
        <w:rPr>
          <w:bCs/>
        </w:rPr>
      </w:pPr>
      <w:r w:rsidRPr="0095785E">
        <w:t xml:space="preserve">All styles to be used for formatting </w:t>
      </w:r>
      <w:r w:rsidR="00D11CF6">
        <w:t>your manuscript</w:t>
      </w:r>
      <w:r w:rsidRPr="0095785E">
        <w:t xml:space="preserve"> have a name </w:t>
      </w:r>
      <w:r w:rsidR="00AD0EA2">
        <w:t>that</w:t>
      </w:r>
      <w:r w:rsidRPr="0095785E">
        <w:t xml:space="preserve"> begins with </w:t>
      </w:r>
      <w:r w:rsidR="00530573" w:rsidRPr="00530573">
        <w:rPr>
          <w:b/>
        </w:rPr>
        <w:t>Anzjes</w:t>
      </w:r>
      <w:r w:rsidRPr="0095785E">
        <w:t xml:space="preserve"> and are shown in this document in </w:t>
      </w:r>
      <w:r w:rsidR="00530573" w:rsidRPr="00530573">
        <w:rPr>
          <w:bCs/>
          <w:color w:val="FF0000"/>
        </w:rPr>
        <w:t>red</w:t>
      </w:r>
      <w:r w:rsidRPr="0095785E">
        <w:rPr>
          <w:color w:val="FF0000"/>
        </w:rPr>
        <w:t xml:space="preserve"> type</w:t>
      </w:r>
      <w:r w:rsidR="00AD0EA2">
        <w:rPr>
          <w:color w:val="FF0000"/>
        </w:rPr>
        <w:t xml:space="preserve"> </w:t>
      </w:r>
      <w:r w:rsidR="00AD0EA2" w:rsidRPr="00AD0EA2">
        <w:t>where the style first appears</w:t>
      </w:r>
      <w:r w:rsidRPr="0095785E">
        <w:t xml:space="preserve">. Specific </w:t>
      </w:r>
      <w:r w:rsidR="00530573" w:rsidRPr="00D11CF6">
        <w:rPr>
          <w:bCs/>
        </w:rPr>
        <w:t>Anzjes</w:t>
      </w:r>
      <w:r w:rsidRPr="0095785E">
        <w:t xml:space="preserve"> styles are defined for the different parts</w:t>
      </w:r>
      <w:r w:rsidR="00D11CF6">
        <w:t xml:space="preserve"> or elements</w:t>
      </w:r>
      <w:r w:rsidRPr="0095785E">
        <w:t xml:space="preserve"> of </w:t>
      </w:r>
      <w:r w:rsidR="00D11CF6">
        <w:t>the</w:t>
      </w:r>
      <w:r w:rsidRPr="0095785E">
        <w:t xml:space="preserve"> manuscript: </w:t>
      </w:r>
      <w:r w:rsidR="00530573">
        <w:t xml:space="preserve">abstract, </w:t>
      </w:r>
      <w:r w:rsidRPr="0095785E">
        <w:t xml:space="preserve">body text, headings, </w:t>
      </w:r>
      <w:r w:rsidR="00530573">
        <w:t>captions</w:t>
      </w:r>
      <w:r w:rsidRPr="0095785E">
        <w:t>, and so on.</w:t>
      </w:r>
      <w:r w:rsidR="0002365E">
        <w:t xml:space="preserve"> </w:t>
      </w:r>
      <w:r w:rsidRPr="0095785E">
        <w:t xml:space="preserve">It is not necessary for you to set up the </w:t>
      </w:r>
      <w:r w:rsidR="00D11CF6" w:rsidRPr="00D11CF6">
        <w:rPr>
          <w:bCs/>
        </w:rPr>
        <w:t>Anzjes</w:t>
      </w:r>
      <w:r w:rsidRPr="0095785E">
        <w:rPr>
          <w:bCs/>
        </w:rPr>
        <w:t xml:space="preserve"> styles; they are attached to this document. To achieve uniformity of appearance, please use the attached </w:t>
      </w:r>
      <w:r w:rsidR="00D11CF6" w:rsidRPr="00D11CF6">
        <w:rPr>
          <w:bCs/>
        </w:rPr>
        <w:t>Anzjes</w:t>
      </w:r>
      <w:r w:rsidRPr="0095785E">
        <w:rPr>
          <w:bCs/>
        </w:rPr>
        <w:t xml:space="preserve"> styles and no others.</w:t>
      </w:r>
    </w:p>
    <w:p w14:paraId="3207DB81" w14:textId="77777777" w:rsidR="0095785E" w:rsidRPr="0095785E" w:rsidRDefault="0095785E" w:rsidP="0095785E">
      <w:pPr>
        <w:pStyle w:val="AnzjesBody"/>
      </w:pPr>
      <w:r w:rsidRPr="0095785E">
        <w:t>The following steps assume that you have already written your paper and are satisfied with its content. You are now ready to bring it into this template. If you have not yet written your paper, you can use this template as a starting point and will not need to do Steps 1 or 2.</w:t>
      </w:r>
    </w:p>
    <w:p w14:paraId="727CBAED" w14:textId="77777777" w:rsidR="0095785E" w:rsidRPr="0095785E" w:rsidRDefault="0095785E" w:rsidP="00D11CF6">
      <w:pPr>
        <w:pStyle w:val="AnzjesHeading3"/>
      </w:pPr>
      <w:bookmarkStart w:id="7" w:name="_Toc480724439"/>
      <w:bookmarkStart w:id="8" w:name="_Toc488955949"/>
      <w:r w:rsidRPr="0095785E">
        <w:t>Step 1: Initial editing</w:t>
      </w:r>
      <w:bookmarkEnd w:id="7"/>
      <w:bookmarkEnd w:id="8"/>
      <w:r w:rsidR="001B3E42">
        <w:t xml:space="preserve"> </w:t>
      </w:r>
      <w:r w:rsidR="001B3E42" w:rsidRPr="001B3E42">
        <w:rPr>
          <w:color w:val="FF0000"/>
        </w:rPr>
        <w:t>(Style: Anzjes_Heading3)</w:t>
      </w:r>
    </w:p>
    <w:p w14:paraId="361C18D9" w14:textId="77777777" w:rsidR="0095785E" w:rsidRPr="0095785E" w:rsidRDefault="0095785E" w:rsidP="00C93D82">
      <w:pPr>
        <w:pStyle w:val="AnzjesBody"/>
      </w:pPr>
      <w:r w:rsidRPr="0095785E">
        <w:t>Open your file and carry out these initial editorial steps:</w:t>
      </w:r>
    </w:p>
    <w:p w14:paraId="6EF21552" w14:textId="77777777" w:rsidR="0095785E" w:rsidRPr="00A94E58" w:rsidRDefault="0095785E" w:rsidP="00787523">
      <w:pPr>
        <w:pStyle w:val="AnzjesListNum"/>
        <w:spacing w:after="0"/>
      </w:pPr>
      <w:r w:rsidRPr="0095785E">
        <w:t xml:space="preserve">Delete any blank lines (shown by a paragraph sign ¶ when you display non-printing characters) before or after paragraphs or headings. </w:t>
      </w:r>
      <w:r w:rsidR="00A94E58">
        <w:t xml:space="preserve">Here is a quick way to do this using Find and Replace: </w:t>
      </w:r>
      <w:r w:rsidR="00C93D82" w:rsidRPr="00C93D82">
        <w:rPr>
          <w:color w:val="FF0000"/>
        </w:rPr>
        <w:t>(Style: Anzjes_ListNum)</w:t>
      </w:r>
    </w:p>
    <w:p w14:paraId="5828D87C" w14:textId="77777777" w:rsidR="00787523" w:rsidRDefault="00787523" w:rsidP="00787523">
      <w:pPr>
        <w:pStyle w:val="AnzjesListNumIndent"/>
      </w:pPr>
      <w:r>
        <w:t>C</w:t>
      </w:r>
      <w:r w:rsidRPr="00787523">
        <w:t>lick on Replace in the Editing section of the Home tab</w:t>
      </w:r>
      <w:r>
        <w:t xml:space="preserve"> of the Word ribbon to open the Find and Replace dialog box. </w:t>
      </w:r>
      <w:r w:rsidRPr="00787523">
        <w:rPr>
          <w:color w:val="FF0000"/>
        </w:rPr>
        <w:t>(Style: Anzjes_ListNumIndent)</w:t>
      </w:r>
    </w:p>
    <w:p w14:paraId="3205E3E4" w14:textId="77777777" w:rsidR="00787523" w:rsidRDefault="00787523" w:rsidP="00D01C64">
      <w:pPr>
        <w:pStyle w:val="AnzjesListNumIndent"/>
      </w:pPr>
      <w:r>
        <w:t>Type ^p^p i</w:t>
      </w:r>
      <w:r w:rsidRPr="00787523">
        <w:t xml:space="preserve">n </w:t>
      </w:r>
      <w:r>
        <w:t xml:space="preserve">the </w:t>
      </w:r>
      <w:r w:rsidRPr="00787523">
        <w:rPr>
          <w:i/>
          <w:iCs/>
        </w:rPr>
        <w:t>Find what</w:t>
      </w:r>
      <w:r w:rsidRPr="00787523">
        <w:t xml:space="preserve"> </w:t>
      </w:r>
      <w:r>
        <w:t xml:space="preserve">box and type ^p in the </w:t>
      </w:r>
      <w:r w:rsidRPr="00787523">
        <w:rPr>
          <w:i/>
          <w:iCs/>
        </w:rPr>
        <w:t>Replace with</w:t>
      </w:r>
      <w:r>
        <w:t xml:space="preserve"> box.</w:t>
      </w:r>
    </w:p>
    <w:p w14:paraId="27046950" w14:textId="77777777" w:rsidR="00A94E58" w:rsidRPr="0095785E" w:rsidRDefault="00787523" w:rsidP="00787523">
      <w:pPr>
        <w:pStyle w:val="AnzjesListNumIndent"/>
      </w:pPr>
      <w:r>
        <w:t>C</w:t>
      </w:r>
      <w:r w:rsidRPr="00787523">
        <w:t xml:space="preserve">lick on </w:t>
      </w:r>
      <w:r w:rsidRPr="00787523">
        <w:rPr>
          <w:i/>
          <w:iCs/>
        </w:rPr>
        <w:t>Replace All</w:t>
      </w:r>
      <w:r w:rsidRPr="00787523">
        <w:t>.</w:t>
      </w:r>
      <w:r w:rsidR="00A44837">
        <w:t xml:space="preserve"> </w:t>
      </w:r>
      <w:r w:rsidR="00296FBE">
        <w:t>Repeat until no more instances are found.</w:t>
      </w:r>
    </w:p>
    <w:p w14:paraId="6F48E07A" w14:textId="77777777" w:rsidR="0095785E" w:rsidRPr="0095785E" w:rsidRDefault="0095785E" w:rsidP="00C93D82">
      <w:pPr>
        <w:pStyle w:val="AnzjesListNum"/>
      </w:pPr>
      <w:r w:rsidRPr="0095785E">
        <w:t xml:space="preserve">Delete any </w:t>
      </w:r>
      <w:r w:rsidR="00AD0EA2">
        <w:t xml:space="preserve">manual </w:t>
      </w:r>
      <w:r w:rsidRPr="0095785E">
        <w:t>page breaks.</w:t>
      </w:r>
    </w:p>
    <w:p w14:paraId="59D88DEC" w14:textId="77777777" w:rsidR="0095785E" w:rsidRPr="0095785E" w:rsidRDefault="0095785E" w:rsidP="00C93D82">
      <w:pPr>
        <w:pStyle w:val="AnzjesListNum"/>
      </w:pPr>
      <w:r w:rsidRPr="0095785E">
        <w:t xml:space="preserve">Delete any tabs (shown by an arrow </w:t>
      </w:r>
      <w:r w:rsidRPr="0095785E">
        <w:rPr>
          <w:b/>
          <w:bCs/>
        </w:rPr>
        <w:sym w:font="Symbol" w:char="F0AE"/>
      </w:r>
      <w:r w:rsidRPr="0095785E">
        <w:t xml:space="preserve"> when you display non-printing characters), except where </w:t>
      </w:r>
      <w:r w:rsidR="00C93D82">
        <w:t xml:space="preserve">they appear </w:t>
      </w:r>
      <w:r w:rsidR="00506161">
        <w:t>after bullets or numbers in a list</w:t>
      </w:r>
      <w:r w:rsidRPr="0095785E">
        <w:t>.</w:t>
      </w:r>
    </w:p>
    <w:p w14:paraId="63C97C43" w14:textId="77777777" w:rsidR="0095785E" w:rsidRPr="0095785E" w:rsidRDefault="0095785E" w:rsidP="00C93D82">
      <w:pPr>
        <w:pStyle w:val="AnzjesListNum"/>
      </w:pPr>
      <w:r w:rsidRPr="0095785E">
        <w:lastRenderedPageBreak/>
        <w:t>Delete any headers and footers (including page numbers).</w:t>
      </w:r>
    </w:p>
    <w:p w14:paraId="43B0F4E6" w14:textId="77777777" w:rsidR="0095785E" w:rsidRPr="0095785E" w:rsidRDefault="0095785E" w:rsidP="006771FF">
      <w:pPr>
        <w:pStyle w:val="AnzjesListNum"/>
        <w:spacing w:after="0"/>
      </w:pPr>
      <w:r w:rsidRPr="0095785E">
        <w:t xml:space="preserve">Check that all quotation marks (single and double) are </w:t>
      </w:r>
      <w:r w:rsidR="00506161">
        <w:t>“</w:t>
      </w:r>
      <w:r w:rsidRPr="0095785E">
        <w:t>smart</w:t>
      </w:r>
      <w:r w:rsidR="00506161">
        <w:t>”</w:t>
      </w:r>
      <w:r w:rsidRPr="0095785E">
        <w:t xml:space="preserve"> (as opposed to </w:t>
      </w:r>
      <w:r w:rsidR="00506161">
        <w:t>"</w:t>
      </w:r>
      <w:r w:rsidRPr="0095785E">
        <w:t>straight</w:t>
      </w:r>
      <w:r w:rsidR="00506161">
        <w:t>"</w:t>
      </w:r>
      <w:r w:rsidRPr="0095785E">
        <w:t>). If you have any straight quotation marks, follow these steps to change them to smart quotes:</w:t>
      </w:r>
    </w:p>
    <w:p w14:paraId="76AFFE3B" w14:textId="77777777" w:rsidR="0095785E" w:rsidRPr="0095785E" w:rsidRDefault="0095785E" w:rsidP="00787523">
      <w:pPr>
        <w:pStyle w:val="AnzjesListNumIndent"/>
        <w:numPr>
          <w:ilvl w:val="0"/>
          <w:numId w:val="42"/>
        </w:numPr>
      </w:pPr>
      <w:r w:rsidRPr="0095785E">
        <w:t xml:space="preserve">Go to </w:t>
      </w:r>
      <w:r w:rsidRPr="00787523">
        <w:rPr>
          <w:i/>
          <w:iCs/>
        </w:rPr>
        <w:t xml:space="preserve">File </w:t>
      </w:r>
      <w:r w:rsidRPr="00787523">
        <w:rPr>
          <w:rFonts w:ascii="Times New Roman" w:hAnsi="Times New Roman"/>
          <w:i/>
          <w:iCs/>
        </w:rPr>
        <w:t>→</w:t>
      </w:r>
      <w:r w:rsidRPr="00787523">
        <w:rPr>
          <w:i/>
          <w:iCs/>
        </w:rPr>
        <w:t xml:space="preserve"> Options </w:t>
      </w:r>
      <w:r w:rsidRPr="00787523">
        <w:rPr>
          <w:rFonts w:ascii="Times New Roman" w:hAnsi="Times New Roman"/>
          <w:i/>
          <w:iCs/>
        </w:rPr>
        <w:t>→</w:t>
      </w:r>
      <w:r w:rsidRPr="00787523">
        <w:rPr>
          <w:i/>
          <w:iCs/>
        </w:rPr>
        <w:t xml:space="preserve"> Proofing </w:t>
      </w:r>
      <w:r w:rsidRPr="00787523">
        <w:rPr>
          <w:rFonts w:ascii="Times New Roman" w:hAnsi="Times New Roman"/>
          <w:i/>
          <w:iCs/>
        </w:rPr>
        <w:t>→</w:t>
      </w:r>
      <w:r w:rsidRPr="00787523">
        <w:rPr>
          <w:i/>
          <w:iCs/>
        </w:rPr>
        <w:t xml:space="preserve"> AutoCorrect Options</w:t>
      </w:r>
      <w:r w:rsidRPr="0095785E">
        <w:t>.</w:t>
      </w:r>
    </w:p>
    <w:p w14:paraId="58B9261A" w14:textId="77777777" w:rsidR="0095785E" w:rsidRPr="0095785E" w:rsidRDefault="0095785E" w:rsidP="007C5628">
      <w:pPr>
        <w:pStyle w:val="AnzjesListNumIndent"/>
      </w:pPr>
      <w:r w:rsidRPr="0095785E">
        <w:t xml:space="preserve">Select the </w:t>
      </w:r>
      <w:r w:rsidRPr="007C5628">
        <w:rPr>
          <w:i/>
          <w:iCs/>
        </w:rPr>
        <w:t>AutoFormat As You Type</w:t>
      </w:r>
      <w:r w:rsidRPr="0095785E">
        <w:t xml:space="preserve"> tab and under </w:t>
      </w:r>
      <w:r w:rsidRPr="007C5628">
        <w:rPr>
          <w:i/>
          <w:iCs/>
        </w:rPr>
        <w:t>Replace as you type</w:t>
      </w:r>
      <w:r w:rsidRPr="0095785E">
        <w:t xml:space="preserve">, tick the box </w:t>
      </w:r>
      <w:r w:rsidRPr="007C5628">
        <w:rPr>
          <w:i/>
          <w:iCs/>
        </w:rPr>
        <w:t>"Straight quotes" with “smart quotes”</w:t>
      </w:r>
      <w:r w:rsidRPr="0095785E">
        <w:t>.</w:t>
      </w:r>
    </w:p>
    <w:p w14:paraId="51F79946" w14:textId="77777777" w:rsidR="0095785E" w:rsidRPr="0095785E" w:rsidRDefault="0095785E" w:rsidP="007C5628">
      <w:pPr>
        <w:pStyle w:val="AnzjesListNumIndent"/>
      </w:pPr>
      <w:r w:rsidRPr="0095785E">
        <w:t xml:space="preserve">Select the </w:t>
      </w:r>
      <w:r w:rsidRPr="007C5628">
        <w:rPr>
          <w:i/>
          <w:iCs/>
        </w:rPr>
        <w:t>AutoFormat</w:t>
      </w:r>
      <w:r w:rsidRPr="0095785E">
        <w:t xml:space="preserve"> tab and under </w:t>
      </w:r>
      <w:r w:rsidRPr="007C5628">
        <w:rPr>
          <w:i/>
          <w:iCs/>
        </w:rPr>
        <w:t>Replace</w:t>
      </w:r>
      <w:r w:rsidRPr="0095785E">
        <w:t xml:space="preserve">, tick the box </w:t>
      </w:r>
      <w:r w:rsidRPr="007C5628">
        <w:rPr>
          <w:i/>
          <w:iCs/>
        </w:rPr>
        <w:t>"Straight quotes" with “smart quotes”</w:t>
      </w:r>
      <w:r w:rsidRPr="0095785E">
        <w:t>.</w:t>
      </w:r>
    </w:p>
    <w:p w14:paraId="22BFE680" w14:textId="77777777" w:rsidR="0095785E" w:rsidRPr="0095785E" w:rsidRDefault="0095785E" w:rsidP="007C5628">
      <w:pPr>
        <w:pStyle w:val="AnzjesListNumIndent"/>
      </w:pPr>
      <w:r w:rsidRPr="0095785E">
        <w:t xml:space="preserve">Next, to replace the straight quotes with smart quotes in your document, click on </w:t>
      </w:r>
      <w:r w:rsidRPr="00416E41">
        <w:rPr>
          <w:i/>
          <w:iCs/>
        </w:rPr>
        <w:t>Replace</w:t>
      </w:r>
      <w:r w:rsidRPr="0095785E">
        <w:t xml:space="preserve"> in the Editing section of the Home tab, type ' (a single quotation mark) in </w:t>
      </w:r>
      <w:r w:rsidRPr="00416E41">
        <w:rPr>
          <w:i/>
          <w:iCs/>
        </w:rPr>
        <w:t>Find what</w:t>
      </w:r>
      <w:r w:rsidRPr="0095785E">
        <w:t xml:space="preserve"> and </w:t>
      </w:r>
      <w:r w:rsidRPr="00416E41">
        <w:rPr>
          <w:i/>
          <w:iCs/>
        </w:rPr>
        <w:t>Replace with</w:t>
      </w:r>
      <w:r w:rsidRPr="0095785E">
        <w:t xml:space="preserve">, and click on </w:t>
      </w:r>
      <w:r w:rsidRPr="00416E41">
        <w:rPr>
          <w:i/>
          <w:iCs/>
        </w:rPr>
        <w:t>Replace All</w:t>
      </w:r>
      <w:r w:rsidRPr="0095785E">
        <w:t xml:space="preserve">. Then type " (a double quotation mark) in </w:t>
      </w:r>
      <w:r w:rsidRPr="00416E41">
        <w:rPr>
          <w:i/>
          <w:iCs/>
        </w:rPr>
        <w:t>Find what</w:t>
      </w:r>
      <w:r w:rsidRPr="0095785E">
        <w:t xml:space="preserve"> and </w:t>
      </w:r>
      <w:r w:rsidRPr="00416E41">
        <w:rPr>
          <w:i/>
          <w:iCs/>
        </w:rPr>
        <w:t xml:space="preserve">Replace </w:t>
      </w:r>
      <w:proofErr w:type="gramStart"/>
      <w:r w:rsidRPr="00416E41">
        <w:rPr>
          <w:i/>
          <w:iCs/>
        </w:rPr>
        <w:t>with</w:t>
      </w:r>
      <w:r w:rsidRPr="0095785E">
        <w:t>, and</w:t>
      </w:r>
      <w:proofErr w:type="gramEnd"/>
      <w:r w:rsidRPr="0095785E">
        <w:t xml:space="preserve"> click </w:t>
      </w:r>
      <w:r w:rsidRPr="00416E41">
        <w:rPr>
          <w:i/>
          <w:iCs/>
        </w:rPr>
        <w:t>Replace All</w:t>
      </w:r>
      <w:r w:rsidRPr="0095785E">
        <w:t xml:space="preserve"> again. All quotation marks should then be converted to smart ones.</w:t>
      </w:r>
    </w:p>
    <w:p w14:paraId="36FA8EB2" w14:textId="77777777" w:rsidR="0095785E" w:rsidRPr="0095785E" w:rsidRDefault="0095785E" w:rsidP="00C93D82">
      <w:pPr>
        <w:pStyle w:val="AnzjesListNum"/>
      </w:pPr>
      <w:r w:rsidRPr="0095785E">
        <w:t xml:space="preserve">If you have typed two spaces between sentences, change this to one space. To ensure that you find all such occurrences, click on </w:t>
      </w:r>
      <w:r w:rsidRPr="0095785E">
        <w:rPr>
          <w:i/>
        </w:rPr>
        <w:t>Replace</w:t>
      </w:r>
      <w:r w:rsidRPr="0095785E">
        <w:t xml:space="preserve"> in the Editing section of the Home tab, type two spaces in </w:t>
      </w:r>
      <w:r w:rsidRPr="0095785E">
        <w:rPr>
          <w:i/>
        </w:rPr>
        <w:t>Find what</w:t>
      </w:r>
      <w:r w:rsidRPr="0095785E">
        <w:t xml:space="preserve"> and one space in </w:t>
      </w:r>
      <w:r w:rsidRPr="0095785E">
        <w:rPr>
          <w:i/>
        </w:rPr>
        <w:t>Replace with</w:t>
      </w:r>
      <w:r w:rsidRPr="0095785E">
        <w:t xml:space="preserve">, and click on </w:t>
      </w:r>
      <w:r w:rsidRPr="0095785E">
        <w:rPr>
          <w:i/>
        </w:rPr>
        <w:t>Replace All</w:t>
      </w:r>
      <w:r w:rsidRPr="0095785E">
        <w:t>.</w:t>
      </w:r>
    </w:p>
    <w:p w14:paraId="45412678" w14:textId="77777777" w:rsidR="0095785E" w:rsidRPr="0095785E" w:rsidRDefault="00840100" w:rsidP="00C93D82">
      <w:pPr>
        <w:pStyle w:val="AnzjesListNum"/>
      </w:pPr>
      <w:r>
        <w:t>Place</w:t>
      </w:r>
      <w:r w:rsidR="0095785E" w:rsidRPr="0095785E">
        <w:t xml:space="preserve"> any figures and tables near to where they are referred to in the text</w:t>
      </w:r>
      <w:r>
        <w:t>, rather than at the end</w:t>
      </w:r>
      <w:r w:rsidR="00813318">
        <w:t xml:space="preserve"> of the document</w:t>
      </w:r>
      <w:r w:rsidR="0095785E" w:rsidRPr="0095785E">
        <w:t xml:space="preserve">. </w:t>
      </w:r>
      <w:r w:rsidR="00211F71">
        <w:t>Number each figure or table consecutively with Arabic numerals and p</w:t>
      </w:r>
      <w:r w:rsidR="0095785E" w:rsidRPr="0095785E">
        <w:t>lace figure</w:t>
      </w:r>
      <w:r w:rsidR="00983D71">
        <w:t xml:space="preserve"> and table</w:t>
      </w:r>
      <w:r w:rsidR="0095785E" w:rsidRPr="0095785E">
        <w:t xml:space="preserve"> captions </w:t>
      </w:r>
      <w:r w:rsidR="00983D71">
        <w:t>above</w:t>
      </w:r>
      <w:r w:rsidR="0095785E" w:rsidRPr="0095785E">
        <w:t xml:space="preserve"> the corresponding figure </w:t>
      </w:r>
      <w:r w:rsidR="00983D71">
        <w:t>or</w:t>
      </w:r>
      <w:r w:rsidR="0095785E" w:rsidRPr="0095785E">
        <w:t xml:space="preserve"> table</w:t>
      </w:r>
      <w:r w:rsidR="00211F71">
        <w:t xml:space="preserve"> (see “Step 3: Formatting your manuscript” for detailed instructions on formatting figures and tables)</w:t>
      </w:r>
      <w:r w:rsidR="0095785E" w:rsidRPr="0095785E">
        <w:t>.</w:t>
      </w:r>
    </w:p>
    <w:p w14:paraId="6F6DA155" w14:textId="77777777" w:rsidR="0095785E" w:rsidRPr="0095785E" w:rsidRDefault="0095785E" w:rsidP="00D11CF6">
      <w:pPr>
        <w:pStyle w:val="AnzjesHeading3"/>
      </w:pPr>
      <w:bookmarkStart w:id="9" w:name="_Toc480724440"/>
      <w:bookmarkStart w:id="10" w:name="_Toc488955950"/>
      <w:r w:rsidRPr="0095785E">
        <w:t>Step 2: Preparing to format your manuscript</w:t>
      </w:r>
      <w:bookmarkEnd w:id="9"/>
      <w:bookmarkEnd w:id="10"/>
    </w:p>
    <w:p w14:paraId="5BD32E9E" w14:textId="77777777" w:rsidR="0095785E" w:rsidRPr="0095785E" w:rsidRDefault="0095785E" w:rsidP="0095785E">
      <w:pPr>
        <w:pStyle w:val="AnzjesBody"/>
      </w:pPr>
      <w:r w:rsidRPr="0095785E">
        <w:t xml:space="preserve">Next, you need to copy your manuscript into this file, which has all the </w:t>
      </w:r>
      <w:r w:rsidR="0029003C" w:rsidRPr="0029003C">
        <w:t>Anzjes</w:t>
      </w:r>
      <w:r w:rsidRPr="0095785E">
        <w:t xml:space="preserve"> styles available. To do this, proceed as follows:</w:t>
      </w:r>
    </w:p>
    <w:p w14:paraId="4FB03D3D" w14:textId="77777777" w:rsidR="0095785E" w:rsidRPr="0095785E" w:rsidRDefault="0095785E" w:rsidP="006C1DE9">
      <w:pPr>
        <w:pStyle w:val="AnzjesListNum"/>
        <w:numPr>
          <w:ilvl w:val="0"/>
          <w:numId w:val="27"/>
        </w:numPr>
      </w:pPr>
      <w:r w:rsidRPr="0095785E">
        <w:t xml:space="preserve">Use </w:t>
      </w:r>
      <w:r w:rsidRPr="006C1DE9">
        <w:rPr>
          <w:i/>
        </w:rPr>
        <w:t>Save As</w:t>
      </w:r>
      <w:r w:rsidRPr="0095785E">
        <w:t xml:space="preserve"> in the File menu to save a </w:t>
      </w:r>
      <w:r w:rsidR="0029003C">
        <w:t>.docx version</w:t>
      </w:r>
      <w:r w:rsidRPr="0095785E">
        <w:t xml:space="preserve"> of this </w:t>
      </w:r>
      <w:r w:rsidR="0029003C">
        <w:t xml:space="preserve">Word </w:t>
      </w:r>
      <w:r w:rsidRPr="0095785E">
        <w:t>template</w:t>
      </w:r>
      <w:r w:rsidR="00813318">
        <w:t xml:space="preserve"> (.dotx)</w:t>
      </w:r>
      <w:r w:rsidRPr="0095785E">
        <w:t xml:space="preserve"> file</w:t>
      </w:r>
      <w:r w:rsidR="000064D1">
        <w:t xml:space="preserve">. </w:t>
      </w:r>
      <w:r w:rsidR="006C1DE9">
        <w:t xml:space="preserve">Name the file with </w:t>
      </w:r>
      <w:r w:rsidR="00813318">
        <w:t>your paper’s</w:t>
      </w:r>
      <w:r w:rsidR="006C1DE9">
        <w:t xml:space="preserve"> c</w:t>
      </w:r>
      <w:r w:rsidR="000064D1">
        <w:t>orresponding author</w:t>
      </w:r>
      <w:r w:rsidR="006C1DE9">
        <w:t>’s</w:t>
      </w:r>
      <w:r w:rsidR="000064D1">
        <w:t xml:space="preserve"> last name</w:t>
      </w:r>
      <w:r w:rsidR="006C1DE9">
        <w:t xml:space="preserve"> and the title of the paper (</w:t>
      </w:r>
      <w:r w:rsidR="000064D1">
        <w:t>e.g. Smith</w:t>
      </w:r>
      <w:r w:rsidR="0051399F">
        <w:t>-</w:t>
      </w:r>
      <w:r w:rsidR="000064D1">
        <w:t>Paper</w:t>
      </w:r>
      <w:r w:rsidR="0051399F">
        <w:t xml:space="preserve"> title</w:t>
      </w:r>
      <w:r w:rsidR="000064D1">
        <w:t>.doc</w:t>
      </w:r>
      <w:r w:rsidR="0051399F">
        <w:t>x</w:t>
      </w:r>
      <w:r w:rsidR="006C1DE9">
        <w:t>)</w:t>
      </w:r>
      <w:r w:rsidR="00F948BB">
        <w:t>.</w:t>
      </w:r>
    </w:p>
    <w:p w14:paraId="372A1ED5" w14:textId="77777777" w:rsidR="0095785E" w:rsidRPr="0095785E" w:rsidRDefault="0095785E" w:rsidP="0029003C">
      <w:pPr>
        <w:pStyle w:val="AnzjesListNum"/>
      </w:pPr>
      <w:r w:rsidRPr="0095785E">
        <w:t xml:space="preserve">Delete the entire text (use Ctrl+A or click on </w:t>
      </w:r>
      <w:r w:rsidRPr="0095785E">
        <w:rPr>
          <w:i/>
        </w:rPr>
        <w:t>Select All</w:t>
      </w:r>
      <w:r w:rsidRPr="0095785E">
        <w:t xml:space="preserve"> in the Editing section of the Home tab and then press Delete). Note that as this original template</w:t>
      </w:r>
      <w:r w:rsidR="0029003C">
        <w:t xml:space="preserve"> is </w:t>
      </w:r>
      <w:r w:rsidR="0029003C" w:rsidRPr="0095785E">
        <w:t>a .dot</w:t>
      </w:r>
      <w:r w:rsidR="0029003C">
        <w:t>x</w:t>
      </w:r>
      <w:r w:rsidRPr="0095785E">
        <w:t xml:space="preserve"> file</w:t>
      </w:r>
      <w:r w:rsidR="0029003C">
        <w:t>, it</w:t>
      </w:r>
      <w:r w:rsidRPr="0095785E">
        <w:t xml:space="preserve"> will be preserved in case you need to refer to the text after you have replaced it with the contents of your paper.</w:t>
      </w:r>
    </w:p>
    <w:p w14:paraId="65EDAAC4" w14:textId="77777777" w:rsidR="0095785E" w:rsidRPr="0095785E" w:rsidRDefault="0095785E" w:rsidP="0029003C">
      <w:pPr>
        <w:pStyle w:val="AnzjesListNum"/>
      </w:pPr>
      <w:r w:rsidRPr="0095785E">
        <w:t xml:space="preserve">Open your manuscript file and copy the entire text to the clipboard (Ctrl+A or click on </w:t>
      </w:r>
      <w:r w:rsidRPr="0095785E">
        <w:rPr>
          <w:i/>
        </w:rPr>
        <w:t>Select All</w:t>
      </w:r>
      <w:r w:rsidRPr="0095785E">
        <w:t xml:space="preserve"> in the Editing section of the Home tab, then Ctrl+C or click on </w:t>
      </w:r>
      <w:r w:rsidRPr="0095785E">
        <w:rPr>
          <w:i/>
        </w:rPr>
        <w:t>Copy</w:t>
      </w:r>
      <w:r w:rsidRPr="0095785E">
        <w:t xml:space="preserve"> in the Clipboard section).</w:t>
      </w:r>
    </w:p>
    <w:p w14:paraId="69BD15CA" w14:textId="77777777" w:rsidR="0095785E" w:rsidRPr="0095785E" w:rsidRDefault="0095785E" w:rsidP="0029003C">
      <w:pPr>
        <w:pStyle w:val="AnzjesListNum"/>
      </w:pPr>
      <w:r w:rsidRPr="0095785E">
        <w:t xml:space="preserve">Return to the new file and paste your manuscript text into it (Ctrl+V or click on </w:t>
      </w:r>
      <w:r w:rsidRPr="0095785E">
        <w:rPr>
          <w:i/>
        </w:rPr>
        <w:t>Paste</w:t>
      </w:r>
      <w:r w:rsidRPr="0095785E">
        <w:t xml:space="preserve"> in the Clipboard section).</w:t>
      </w:r>
    </w:p>
    <w:p w14:paraId="15F9D880" w14:textId="77777777" w:rsidR="0095785E" w:rsidRPr="0095785E" w:rsidRDefault="0095785E" w:rsidP="0095785E">
      <w:pPr>
        <w:pStyle w:val="AnzjesBody"/>
      </w:pPr>
      <w:r w:rsidRPr="0095785E">
        <w:t xml:space="preserve">You now have a copy of your manuscript file with all the </w:t>
      </w:r>
      <w:r w:rsidR="0029003C" w:rsidRPr="0029003C">
        <w:t>Anzjes</w:t>
      </w:r>
      <w:r w:rsidRPr="0095785E">
        <w:t xml:space="preserve"> styles available. This is the file that, after editing/formatting, you will </w:t>
      </w:r>
      <w:r w:rsidR="0029003C">
        <w:t>submit to the journal via the website submission process</w:t>
      </w:r>
      <w:r w:rsidRPr="0095785E">
        <w:t>.</w:t>
      </w:r>
    </w:p>
    <w:p w14:paraId="2CF3727B" w14:textId="77777777" w:rsidR="0095785E" w:rsidRPr="0095785E" w:rsidRDefault="0095785E" w:rsidP="00D11CF6">
      <w:pPr>
        <w:pStyle w:val="AnzjesHeading3"/>
      </w:pPr>
      <w:bookmarkStart w:id="11" w:name="_Toc480724441"/>
      <w:bookmarkStart w:id="12" w:name="_Toc488955951"/>
      <w:r w:rsidRPr="0095785E">
        <w:t>Step 3: Formatting your manuscript</w:t>
      </w:r>
      <w:bookmarkEnd w:id="11"/>
      <w:bookmarkEnd w:id="12"/>
    </w:p>
    <w:p w14:paraId="127B9335" w14:textId="77777777" w:rsidR="0095785E" w:rsidRPr="0095785E" w:rsidRDefault="0095785E" w:rsidP="0095785E">
      <w:pPr>
        <w:pStyle w:val="AnzjesBody"/>
      </w:pPr>
      <w:r w:rsidRPr="0095785E">
        <w:t xml:space="preserve">You are now ready to format each paragraph of your manuscript using the appropriate </w:t>
      </w:r>
      <w:r w:rsidR="00607745" w:rsidRPr="00607745">
        <w:t>Anzjes</w:t>
      </w:r>
      <w:r w:rsidRPr="0095785E">
        <w:t xml:space="preserve"> style. First, open the Styles list by clicking the expansion arrow in the bottom </w:t>
      </w:r>
      <w:r w:rsidRPr="0095785E">
        <w:lastRenderedPageBreak/>
        <w:t xml:space="preserve">right corner of the Styles section on the Home tab of the </w:t>
      </w:r>
      <w:r w:rsidR="00BF5669">
        <w:t xml:space="preserve">Word </w:t>
      </w:r>
      <w:r w:rsidRPr="0095785E">
        <w:t>ribbon. The general procedure for applying a style is as follows:</w:t>
      </w:r>
    </w:p>
    <w:p w14:paraId="29CB0669" w14:textId="77777777" w:rsidR="0095785E" w:rsidRPr="0095785E" w:rsidRDefault="0095785E" w:rsidP="00607745">
      <w:pPr>
        <w:pStyle w:val="AnzjesListNum"/>
        <w:numPr>
          <w:ilvl w:val="0"/>
          <w:numId w:val="23"/>
        </w:numPr>
      </w:pPr>
      <w:r w:rsidRPr="0095785E">
        <w:t xml:space="preserve">Place the cursor in the paragraph you wish to </w:t>
      </w:r>
      <w:proofErr w:type="gramStart"/>
      <w:r w:rsidRPr="0095785E">
        <w:t>format</w:t>
      </w:r>
      <w:r w:rsidR="00BF5669">
        <w:t>,</w:t>
      </w:r>
      <w:r w:rsidRPr="0095785E">
        <w:t xml:space="preserve"> or</w:t>
      </w:r>
      <w:proofErr w:type="gramEnd"/>
      <w:r w:rsidRPr="0095785E">
        <w:t xml:space="preserve"> select several paragraphs of text if they are all to be formatted with the same style. (If you select more than one paragraph, the same style will be applied to all of them.)</w:t>
      </w:r>
    </w:p>
    <w:p w14:paraId="6CC1BFC9" w14:textId="77777777" w:rsidR="0095785E" w:rsidRPr="0095785E" w:rsidRDefault="0095785E" w:rsidP="00607745">
      <w:pPr>
        <w:pStyle w:val="AnzjesListNum"/>
      </w:pPr>
      <w:r w:rsidRPr="0095785E">
        <w:t xml:space="preserve">Click on the required </w:t>
      </w:r>
      <w:r w:rsidR="00607745" w:rsidRPr="00607745">
        <w:t>Anzjes</w:t>
      </w:r>
      <w:r w:rsidRPr="0095785E">
        <w:t xml:space="preserve"> style. The selected text will be automatically formatted.</w:t>
      </w:r>
      <w:r w:rsidR="009421B6">
        <w:t xml:space="preserve"> (Note: You may need to click on the style twice to ensure it applies</w:t>
      </w:r>
      <w:r w:rsidR="008F69FE">
        <w:t>.)</w:t>
      </w:r>
    </w:p>
    <w:p w14:paraId="5FE77376" w14:textId="77777777" w:rsidR="0095785E" w:rsidRPr="0095785E" w:rsidRDefault="0095785E" w:rsidP="0095785E">
      <w:pPr>
        <w:pStyle w:val="AnzjesBody"/>
      </w:pPr>
      <w:r w:rsidRPr="0095785E">
        <w:t xml:space="preserve">Note that, even when using Styles, it is occasionally necessary to adjust the spacing before or after a paragraph </w:t>
      </w:r>
      <w:r w:rsidR="005B5C6C">
        <w:t>“</w:t>
      </w:r>
      <w:r w:rsidRPr="0095785E">
        <w:t>by hand</w:t>
      </w:r>
      <w:r w:rsidR="005B5C6C">
        <w:t>”</w:t>
      </w:r>
      <w:r w:rsidRPr="0095785E">
        <w:t xml:space="preserve">. To do this, open the Paragraph dialog box from the Home tab of the ribbon and on the </w:t>
      </w:r>
      <w:r w:rsidRPr="0095785E">
        <w:rPr>
          <w:i/>
        </w:rPr>
        <w:t>Indents and Spacing</w:t>
      </w:r>
      <w:r w:rsidRPr="0095785E">
        <w:t xml:space="preserve"> tab, adjust spacing </w:t>
      </w:r>
      <w:r w:rsidRPr="0095785E">
        <w:rPr>
          <w:i/>
        </w:rPr>
        <w:t>Before</w:t>
      </w:r>
      <w:r w:rsidRPr="0095785E">
        <w:t xml:space="preserve"> or </w:t>
      </w:r>
      <w:r w:rsidRPr="0095785E">
        <w:rPr>
          <w:i/>
        </w:rPr>
        <w:t>After</w:t>
      </w:r>
      <w:r w:rsidRPr="0095785E">
        <w:t xml:space="preserve">. </w:t>
      </w:r>
    </w:p>
    <w:p w14:paraId="4D455001" w14:textId="77777777" w:rsidR="0095785E" w:rsidRPr="0095785E" w:rsidRDefault="0095785E" w:rsidP="0095785E">
      <w:pPr>
        <w:pStyle w:val="AnzjesBody"/>
      </w:pPr>
      <w:r w:rsidRPr="0095785E">
        <w:t xml:space="preserve">Each item of your manuscript </w:t>
      </w:r>
      <w:r w:rsidR="005B5C6C">
        <w:t>should</w:t>
      </w:r>
      <w:r w:rsidRPr="0095785E">
        <w:t xml:space="preserve"> be formatted as described below. If you are in any doubt as to the interpretation of the instructions, examine the formatting of the corresponding paragraphs of this document.</w:t>
      </w:r>
    </w:p>
    <w:p w14:paraId="771B23E8" w14:textId="77777777" w:rsidR="0095785E" w:rsidRPr="0095785E" w:rsidRDefault="00AB6BD3" w:rsidP="00177191">
      <w:pPr>
        <w:pStyle w:val="AnzjesHeading4"/>
      </w:pPr>
      <w:r>
        <w:t>Article t</w:t>
      </w:r>
      <w:r w:rsidR="0095785E" w:rsidRPr="0095785E">
        <w:t>itle</w:t>
      </w:r>
    </w:p>
    <w:p w14:paraId="673D6A8C" w14:textId="77777777" w:rsidR="0095785E" w:rsidRPr="0095785E" w:rsidRDefault="0095785E" w:rsidP="0095785E">
      <w:pPr>
        <w:pStyle w:val="AnzjesBody"/>
      </w:pPr>
      <w:r w:rsidRPr="0095785E">
        <w:t xml:space="preserve">Apply </w:t>
      </w:r>
      <w:r w:rsidR="00AB6BD3" w:rsidRPr="00AB6BD3">
        <w:rPr>
          <w:color w:val="FF0000"/>
        </w:rPr>
        <w:t>Anzjes_ArticleTitle</w:t>
      </w:r>
      <w:r w:rsidRPr="0095785E">
        <w:rPr>
          <w:color w:val="FF0000"/>
        </w:rPr>
        <w:t xml:space="preserve"> </w:t>
      </w:r>
      <w:r w:rsidRPr="0095785E">
        <w:t xml:space="preserve">to format the title of your paper. Use sentence case – </w:t>
      </w:r>
      <w:r w:rsidR="00AB6BD3">
        <w:t xml:space="preserve">this means you </w:t>
      </w:r>
      <w:r w:rsidRPr="0095785E">
        <w:t xml:space="preserve">capitalise </w:t>
      </w:r>
      <w:r w:rsidR="00AB6BD3">
        <w:t>only the first</w:t>
      </w:r>
      <w:r w:rsidRPr="0095785E">
        <w:t xml:space="preserve"> word of the </w:t>
      </w:r>
      <w:r w:rsidR="00AB6BD3">
        <w:t>title</w:t>
      </w:r>
      <w:r w:rsidRPr="0095785E">
        <w:t>, the first word after a colon and any proper nouns.</w:t>
      </w:r>
    </w:p>
    <w:p w14:paraId="3A2D7306" w14:textId="77777777" w:rsidR="0095785E" w:rsidRPr="0095785E" w:rsidRDefault="0095785E" w:rsidP="00177191">
      <w:pPr>
        <w:pStyle w:val="AnzjesHeading4"/>
      </w:pPr>
      <w:r w:rsidRPr="0095785E">
        <w:t>Author details</w:t>
      </w:r>
    </w:p>
    <w:p w14:paraId="7CA271D0" w14:textId="77777777" w:rsidR="0095785E" w:rsidRPr="0095785E" w:rsidRDefault="0095785E" w:rsidP="0095785E">
      <w:pPr>
        <w:pStyle w:val="AnzjesBody"/>
      </w:pPr>
      <w:r w:rsidRPr="0095785E">
        <w:t>Use three lines for each author:</w:t>
      </w:r>
    </w:p>
    <w:p w14:paraId="7EF52115" w14:textId="77777777" w:rsidR="0095785E" w:rsidRPr="0095785E" w:rsidRDefault="0095785E" w:rsidP="00AB6BD3">
      <w:pPr>
        <w:pStyle w:val="AnzjesBullet"/>
      </w:pPr>
      <w:r w:rsidRPr="0095785E">
        <w:t xml:space="preserve">First and last name – apply </w:t>
      </w:r>
      <w:r w:rsidR="00AB6BD3" w:rsidRPr="00AB6BD3">
        <w:rPr>
          <w:color w:val="FF0000"/>
        </w:rPr>
        <w:t>Anzjes_AuthorName</w:t>
      </w:r>
      <w:r w:rsidRPr="0095785E">
        <w:t>.</w:t>
      </w:r>
    </w:p>
    <w:p w14:paraId="1D0331D2" w14:textId="77777777" w:rsidR="0095785E" w:rsidRPr="0095785E" w:rsidRDefault="0095785E" w:rsidP="00AB6BD3">
      <w:pPr>
        <w:pStyle w:val="AnzjesBullet"/>
      </w:pPr>
      <w:r w:rsidRPr="0095785E">
        <w:t xml:space="preserve">Affiliation or organisation (if any) – apply </w:t>
      </w:r>
      <w:r w:rsidR="00AB6BD3" w:rsidRPr="007939F5">
        <w:rPr>
          <w:color w:val="FF0000"/>
        </w:rPr>
        <w:t>Anzjes_AuthorAffiliation</w:t>
      </w:r>
      <w:r w:rsidRPr="0095785E">
        <w:t>.</w:t>
      </w:r>
    </w:p>
    <w:p w14:paraId="1E9AFD43" w14:textId="77777777" w:rsidR="0095785E" w:rsidRPr="0095785E" w:rsidRDefault="0095785E" w:rsidP="00AB6BD3">
      <w:pPr>
        <w:pStyle w:val="AnzjesBullet"/>
      </w:pPr>
      <w:r w:rsidRPr="0095785E">
        <w:t xml:space="preserve">Email address – apply </w:t>
      </w:r>
      <w:r w:rsidR="007939F5" w:rsidRPr="007939F5">
        <w:rPr>
          <w:color w:val="FF0000"/>
        </w:rPr>
        <w:t>Anzjes_AuthorEmail</w:t>
      </w:r>
      <w:r w:rsidRPr="0095785E">
        <w:t>.</w:t>
      </w:r>
    </w:p>
    <w:p w14:paraId="3AF2C11E" w14:textId="77777777" w:rsidR="0095785E" w:rsidRPr="0095785E" w:rsidRDefault="0095785E" w:rsidP="0095785E">
      <w:pPr>
        <w:pStyle w:val="AnzjesBody"/>
      </w:pPr>
      <w:r w:rsidRPr="0095785E">
        <w:rPr>
          <w:u w:val="single"/>
        </w:rPr>
        <w:t>Underline</w:t>
      </w:r>
      <w:r w:rsidRPr="0095785E">
        <w:t xml:space="preserve"> the name of the author who should be the main contact for correspondence.</w:t>
      </w:r>
    </w:p>
    <w:p w14:paraId="0DE76435" w14:textId="77777777" w:rsidR="0095785E" w:rsidRPr="0095785E" w:rsidRDefault="0095785E" w:rsidP="00177191">
      <w:pPr>
        <w:pStyle w:val="AnzjesHeading4"/>
      </w:pPr>
      <w:r w:rsidRPr="0095785E">
        <w:t>Abstract</w:t>
      </w:r>
    </w:p>
    <w:p w14:paraId="00FC0399" w14:textId="77777777" w:rsidR="0095785E" w:rsidRDefault="0095785E" w:rsidP="0095785E">
      <w:pPr>
        <w:pStyle w:val="AnzjesBody"/>
        <w:rPr>
          <w:bCs/>
        </w:rPr>
      </w:pPr>
      <w:r w:rsidRPr="0095785E">
        <w:t xml:space="preserve">Begin your paper with a one-paragraph abstract of not more than </w:t>
      </w:r>
      <w:r w:rsidR="00CC64EB">
        <w:t>15</w:t>
      </w:r>
      <w:r w:rsidRPr="0095785E">
        <w:t xml:space="preserve">0 words. Format the abstract using </w:t>
      </w:r>
      <w:r w:rsidR="00CC64EB" w:rsidRPr="00CC64EB">
        <w:rPr>
          <w:color w:val="FF0000"/>
        </w:rPr>
        <w:t>Anzjes_AbstractText</w:t>
      </w:r>
      <w:r w:rsidRPr="0095785E">
        <w:rPr>
          <w:bCs/>
        </w:rPr>
        <w:t>.</w:t>
      </w:r>
    </w:p>
    <w:p w14:paraId="5F22BCDA" w14:textId="77777777" w:rsidR="00E00186" w:rsidRDefault="00E00186" w:rsidP="00E00186">
      <w:pPr>
        <w:pStyle w:val="AnzjesHeading4"/>
      </w:pPr>
      <w:r>
        <w:t>Keywords</w:t>
      </w:r>
    </w:p>
    <w:p w14:paraId="52B3E0D8" w14:textId="77777777" w:rsidR="00E00186" w:rsidRPr="0095785E" w:rsidRDefault="00E00186" w:rsidP="0095785E">
      <w:pPr>
        <w:pStyle w:val="AnzjesBody"/>
      </w:pPr>
      <w:r>
        <w:t>I</w:t>
      </w:r>
      <w:r w:rsidRPr="00E00186">
        <w:t xml:space="preserve">nclude </w:t>
      </w:r>
      <w:r>
        <w:t>four</w:t>
      </w:r>
      <w:r w:rsidRPr="00E00186">
        <w:t xml:space="preserve"> to </w:t>
      </w:r>
      <w:r>
        <w:t>five</w:t>
      </w:r>
      <w:r w:rsidRPr="00E00186">
        <w:t xml:space="preserve"> keywords arranged in alphabetical order and separated with commas</w:t>
      </w:r>
      <w:r>
        <w:t xml:space="preserve">. Format the keywords using </w:t>
      </w:r>
      <w:r w:rsidRPr="00E00186">
        <w:rPr>
          <w:color w:val="FF0000"/>
        </w:rPr>
        <w:t>Anzjes_Keywords</w:t>
      </w:r>
      <w:r>
        <w:t>.</w:t>
      </w:r>
    </w:p>
    <w:p w14:paraId="59C5A81E" w14:textId="77777777" w:rsidR="00E94225" w:rsidRPr="0095785E" w:rsidRDefault="00E94225" w:rsidP="00E94225">
      <w:pPr>
        <w:pStyle w:val="AnzjesHeading4"/>
      </w:pPr>
      <w:r w:rsidRPr="0095785E">
        <w:t>Headings</w:t>
      </w:r>
    </w:p>
    <w:p w14:paraId="0ECF6516" w14:textId="77777777" w:rsidR="00E94225" w:rsidRPr="0095785E" w:rsidRDefault="00E94225" w:rsidP="00E94225">
      <w:pPr>
        <w:pStyle w:val="AnzjesBody"/>
      </w:pPr>
      <w:r>
        <w:t>Up to t</w:t>
      </w:r>
      <w:r w:rsidRPr="0095785E">
        <w:t>hree levels of heading</w:t>
      </w:r>
      <w:r>
        <w:t>s</w:t>
      </w:r>
      <w:r w:rsidRPr="0095785E">
        <w:t xml:space="preserve"> may be used in </w:t>
      </w:r>
      <w:r>
        <w:t>ANZJES papers</w:t>
      </w:r>
      <w:r w:rsidRPr="0095785E">
        <w:t>:</w:t>
      </w:r>
    </w:p>
    <w:p w14:paraId="4565BCD5" w14:textId="77777777" w:rsidR="00E94225" w:rsidRPr="0095785E" w:rsidRDefault="00E94225" w:rsidP="00E94225">
      <w:pPr>
        <w:pStyle w:val="AnzjesListNum"/>
        <w:numPr>
          <w:ilvl w:val="0"/>
          <w:numId w:val="24"/>
        </w:numPr>
      </w:pPr>
      <w:r w:rsidRPr="0095785E">
        <w:t xml:space="preserve">Apply </w:t>
      </w:r>
      <w:r w:rsidRPr="00150B93">
        <w:rPr>
          <w:color w:val="FF0000"/>
        </w:rPr>
        <w:t xml:space="preserve">Anzjes_Heading2 </w:t>
      </w:r>
      <w:r w:rsidRPr="0095785E">
        <w:t xml:space="preserve">to </w:t>
      </w:r>
      <w:r>
        <w:t>the major</w:t>
      </w:r>
      <w:r w:rsidRPr="0095785E">
        <w:t xml:space="preserve"> headings </w:t>
      </w:r>
      <w:r>
        <w:t xml:space="preserve">in your paper </w:t>
      </w:r>
      <w:r w:rsidRPr="0095785E">
        <w:t>and use sentence case – capitalise only the first word of the heading and any proper nouns.</w:t>
      </w:r>
    </w:p>
    <w:p w14:paraId="6B0A07ED" w14:textId="77777777" w:rsidR="00E94225" w:rsidRPr="0095785E" w:rsidRDefault="00E94225" w:rsidP="00E94225">
      <w:pPr>
        <w:pStyle w:val="AnzjesListNum"/>
      </w:pPr>
      <w:r w:rsidRPr="0095785E">
        <w:t>Apply</w:t>
      </w:r>
      <w:r w:rsidRPr="0095785E">
        <w:rPr>
          <w:b/>
          <w:bCs/>
        </w:rPr>
        <w:t xml:space="preserve"> </w:t>
      </w:r>
      <w:r w:rsidRPr="00150B93">
        <w:rPr>
          <w:color w:val="FF0000"/>
        </w:rPr>
        <w:t xml:space="preserve">Anzjes_Heading3 </w:t>
      </w:r>
      <w:r w:rsidRPr="0095785E">
        <w:t xml:space="preserve">to </w:t>
      </w:r>
      <w:r>
        <w:t>any sub</w:t>
      </w:r>
      <w:r w:rsidRPr="0095785E">
        <w:t>headings</w:t>
      </w:r>
      <w:r>
        <w:t xml:space="preserve"> within the level 2 sections</w:t>
      </w:r>
      <w:r w:rsidRPr="0095785E">
        <w:t xml:space="preserve"> and use sentence case.</w:t>
      </w:r>
    </w:p>
    <w:p w14:paraId="7ADEF30C" w14:textId="77777777" w:rsidR="00E94225" w:rsidRPr="0095785E" w:rsidRDefault="00E94225" w:rsidP="00E94225">
      <w:pPr>
        <w:pStyle w:val="AnzjesListNum"/>
      </w:pPr>
      <w:r w:rsidRPr="0095785E">
        <w:t xml:space="preserve">Apply </w:t>
      </w:r>
      <w:r w:rsidRPr="00150B93">
        <w:rPr>
          <w:color w:val="FF0000"/>
        </w:rPr>
        <w:t>Anzjes_Heading4</w:t>
      </w:r>
      <w:r w:rsidRPr="00150B93">
        <w:rPr>
          <w:b/>
          <w:bCs/>
          <w:color w:val="FF0000"/>
        </w:rPr>
        <w:t xml:space="preserve"> </w:t>
      </w:r>
      <w:r w:rsidRPr="0095785E">
        <w:rPr>
          <w:bCs/>
        </w:rPr>
        <w:t xml:space="preserve">to </w:t>
      </w:r>
      <w:r>
        <w:rPr>
          <w:bCs/>
        </w:rPr>
        <w:t>any sub</w:t>
      </w:r>
      <w:r w:rsidRPr="0095785E">
        <w:t>headings</w:t>
      </w:r>
      <w:r>
        <w:t xml:space="preserve"> within the level 3 sections</w:t>
      </w:r>
      <w:r w:rsidRPr="0095785E">
        <w:t xml:space="preserve"> and use sentence case.</w:t>
      </w:r>
    </w:p>
    <w:p w14:paraId="561F1F8D" w14:textId="77777777" w:rsidR="0002365E" w:rsidRPr="0095785E" w:rsidRDefault="0002365E" w:rsidP="0002365E">
      <w:pPr>
        <w:pStyle w:val="AnzjesHeading4"/>
      </w:pPr>
      <w:r>
        <w:lastRenderedPageBreak/>
        <w:t>Body</w:t>
      </w:r>
      <w:r w:rsidRPr="0095785E">
        <w:t xml:space="preserve"> text</w:t>
      </w:r>
    </w:p>
    <w:p w14:paraId="030A385F" w14:textId="77777777" w:rsidR="0002365E" w:rsidRPr="0095785E" w:rsidRDefault="0002365E" w:rsidP="0002365E">
      <w:pPr>
        <w:pStyle w:val="AnzjesBody"/>
      </w:pPr>
      <w:r w:rsidRPr="0095785E">
        <w:t xml:space="preserve">Format </w:t>
      </w:r>
      <w:r>
        <w:t>normal body-</w:t>
      </w:r>
      <w:r w:rsidRPr="0095785E">
        <w:t xml:space="preserve">text paragraphs using </w:t>
      </w:r>
      <w:r w:rsidRPr="00635884">
        <w:rPr>
          <w:color w:val="FF0000"/>
        </w:rPr>
        <w:t>Anzjes_Body</w:t>
      </w:r>
      <w:r w:rsidRPr="0095785E">
        <w:t>. This style has</w:t>
      </w:r>
      <w:r>
        <w:t xml:space="preserve"> justified alignment and</w:t>
      </w:r>
      <w:r w:rsidRPr="0095785E">
        <w:t xml:space="preserve"> in-built spacing of </w:t>
      </w:r>
      <w:r>
        <w:t>12</w:t>
      </w:r>
      <w:r w:rsidRPr="0095785E">
        <w:t> pt after each paragraph.</w:t>
      </w:r>
    </w:p>
    <w:p w14:paraId="3A214750" w14:textId="77777777" w:rsidR="0095785E" w:rsidRPr="0095785E" w:rsidRDefault="0095785E" w:rsidP="00177191">
      <w:pPr>
        <w:pStyle w:val="AnzjesHeading4"/>
      </w:pPr>
      <w:r w:rsidRPr="0095785E">
        <w:t>Block quotations</w:t>
      </w:r>
    </w:p>
    <w:p w14:paraId="29B9A7C0" w14:textId="77777777" w:rsidR="00AD6835" w:rsidRDefault="00AD6835" w:rsidP="00AD6835">
      <w:pPr>
        <w:pStyle w:val="AnzjesBody"/>
      </w:pPr>
      <w:r>
        <w:t>Direct quotations of 40 or more words should be set as block quotations like this:</w:t>
      </w:r>
    </w:p>
    <w:p w14:paraId="52653981" w14:textId="77777777" w:rsidR="00AD6835" w:rsidRPr="00AD6835" w:rsidRDefault="00AD6835" w:rsidP="00AD6835">
      <w:pPr>
        <w:pStyle w:val="AnzjesQuote"/>
      </w:pPr>
      <w:r w:rsidRPr="00AD6835">
        <w:t xml:space="preserve">Quotations of 40 or more words are indented from the left margin by 1.25 cm. They are called block quotations, and because they are differentiated from the text in this way, they do not need quotation marks. The style for block quotes is called </w:t>
      </w:r>
      <w:r w:rsidRPr="00AD6835">
        <w:rPr>
          <w:color w:val="FF0000"/>
        </w:rPr>
        <w:t>Anzjes_Quote</w:t>
      </w:r>
      <w:r w:rsidRPr="00AD6835">
        <w:t>.</w:t>
      </w:r>
    </w:p>
    <w:p w14:paraId="105BF204" w14:textId="77777777" w:rsidR="0095785E" w:rsidRPr="0095785E" w:rsidRDefault="0095785E" w:rsidP="00177191">
      <w:pPr>
        <w:pStyle w:val="AnzjesHeading4"/>
      </w:pPr>
      <w:r w:rsidRPr="0095785E">
        <w:t>Lists</w:t>
      </w:r>
    </w:p>
    <w:p w14:paraId="3260495D" w14:textId="77777777" w:rsidR="007C7AB1" w:rsidRDefault="0095785E" w:rsidP="007C7AB1">
      <w:pPr>
        <w:pStyle w:val="AnzjesBody"/>
      </w:pPr>
      <w:r w:rsidRPr="0095785E">
        <w:t xml:space="preserve">Lists may be </w:t>
      </w:r>
      <w:r w:rsidR="001C1F2D">
        <w:t>lettered,</w:t>
      </w:r>
      <w:r w:rsidRPr="0095785E">
        <w:t xml:space="preserve"> numbered or bulleted. </w:t>
      </w:r>
      <w:r w:rsidR="006542E2">
        <w:t>Lettered lists can be used within a sentence or paragraph narrative to identify elements in a series</w:t>
      </w:r>
      <w:r w:rsidR="003140FF">
        <w:t xml:space="preserve"> (see the “ANZJES style guidelines” section for more information)</w:t>
      </w:r>
      <w:r w:rsidR="006542E2">
        <w:t xml:space="preserve">. </w:t>
      </w:r>
      <w:r w:rsidRPr="0095785E">
        <w:t xml:space="preserve">To format </w:t>
      </w:r>
      <w:r w:rsidR="006542E2">
        <w:t>numbered or bulleted</w:t>
      </w:r>
      <w:r w:rsidRPr="0095785E">
        <w:t xml:space="preserve"> list</w:t>
      </w:r>
      <w:r w:rsidR="006542E2">
        <w:t>s</w:t>
      </w:r>
      <w:r w:rsidRPr="0095785E">
        <w:t xml:space="preserve">, </w:t>
      </w:r>
      <w:r w:rsidR="00514F07">
        <w:t>remove</w:t>
      </w:r>
      <w:r w:rsidRPr="0095785E">
        <w:t xml:space="preserve"> existing number</w:t>
      </w:r>
      <w:r w:rsidR="00514F07">
        <w:t>s</w:t>
      </w:r>
      <w:r w:rsidRPr="0095785E">
        <w:t xml:space="preserve"> or bullet</w:t>
      </w:r>
      <w:r w:rsidR="00514F07">
        <w:t>s</w:t>
      </w:r>
      <w:r w:rsidRPr="0095785E">
        <w:t xml:space="preserve"> and apply </w:t>
      </w:r>
      <w:r w:rsidR="00CA0FBE" w:rsidRPr="00CA0FBE">
        <w:rPr>
          <w:color w:val="FF0000"/>
        </w:rPr>
        <w:t>Anzjes_ListNum</w:t>
      </w:r>
      <w:r w:rsidRPr="0095785E">
        <w:t xml:space="preserve"> or </w:t>
      </w:r>
      <w:r w:rsidR="00CA0FBE" w:rsidRPr="00CA0FBE">
        <w:rPr>
          <w:color w:val="FF0000"/>
        </w:rPr>
        <w:t>Anzjes_</w:t>
      </w:r>
      <w:r w:rsidRPr="0095785E">
        <w:rPr>
          <w:color w:val="FF0000"/>
        </w:rPr>
        <w:t>Bullet</w:t>
      </w:r>
      <w:r w:rsidRPr="0095785E">
        <w:t xml:space="preserve"> to the relevant paragraphs. If there is more than one numbered list in your document, subsequent lists will automatically continue numbering from the previous list. To restart the list at number 1, right-click on the </w:t>
      </w:r>
      <w:r w:rsidR="00514F07">
        <w:t xml:space="preserve">first </w:t>
      </w:r>
      <w:r w:rsidRPr="0095785E">
        <w:t xml:space="preserve">number and choose </w:t>
      </w:r>
      <w:r w:rsidRPr="0095785E">
        <w:rPr>
          <w:i/>
        </w:rPr>
        <w:t>Restart at 1</w:t>
      </w:r>
      <w:r w:rsidRPr="0095785E">
        <w:t xml:space="preserve">. If your numbered list has sub-points, use the </w:t>
      </w:r>
      <w:r w:rsidR="00CA0FBE" w:rsidRPr="00CA0FBE">
        <w:rPr>
          <w:bCs/>
          <w:color w:val="FF0000"/>
        </w:rPr>
        <w:t>Anzjes_ListNumIndent</w:t>
      </w:r>
      <w:r w:rsidR="00CA0FBE" w:rsidRPr="00CA0FBE">
        <w:t xml:space="preserve"> </w:t>
      </w:r>
      <w:r w:rsidRPr="0095785E">
        <w:t>style and reduce the space after the lead-in numbered paragraph to 0 pt.</w:t>
      </w:r>
    </w:p>
    <w:p w14:paraId="32EB3A52" w14:textId="77777777" w:rsidR="0095785E" w:rsidRPr="0095785E" w:rsidRDefault="0095785E" w:rsidP="007C7AB1">
      <w:pPr>
        <w:pStyle w:val="AnzjesHeading4"/>
      </w:pPr>
      <w:r w:rsidRPr="0095785E">
        <w:t>Figures</w:t>
      </w:r>
    </w:p>
    <w:p w14:paraId="052924D9" w14:textId="77777777" w:rsidR="00976B35" w:rsidRDefault="0051399F" w:rsidP="0095785E">
      <w:pPr>
        <w:pStyle w:val="AnzjesBody"/>
      </w:pPr>
      <w:r w:rsidRPr="0051399F">
        <w:t>All diagrams, charts and graphs should be referred to as figures and consecutively numbered</w:t>
      </w:r>
      <w:r w:rsidR="00514F07">
        <w:t xml:space="preserve"> using Arabic numerals</w:t>
      </w:r>
      <w:r w:rsidRPr="0051399F">
        <w:t xml:space="preserve">. </w:t>
      </w:r>
      <w:r w:rsidR="0095785E" w:rsidRPr="0095785E">
        <w:t>Each figure must be referred to in the text by its identifier</w:t>
      </w:r>
      <w:r w:rsidR="00145647">
        <w:t xml:space="preserve"> (</w:t>
      </w:r>
      <w:proofErr w:type="gramStart"/>
      <w:r w:rsidR="00145647">
        <w:t>e.g.</w:t>
      </w:r>
      <w:proofErr w:type="gramEnd"/>
      <w:r w:rsidR="0095785E" w:rsidRPr="0095785E">
        <w:t xml:space="preserve"> </w:t>
      </w:r>
      <w:r w:rsidR="0095785E" w:rsidRPr="0095785E">
        <w:rPr>
          <w:iCs/>
        </w:rPr>
        <w:t>Figure</w:t>
      </w:r>
      <w:r w:rsidR="00145647" w:rsidRPr="00145647">
        <w:rPr>
          <w:iCs/>
        </w:rPr>
        <w:t> </w:t>
      </w:r>
      <w:r w:rsidR="0095785E" w:rsidRPr="0095785E">
        <w:rPr>
          <w:iCs/>
        </w:rPr>
        <w:t>1</w:t>
      </w:r>
      <w:r w:rsidR="00145647">
        <w:rPr>
          <w:iCs/>
        </w:rPr>
        <w:t>)</w:t>
      </w:r>
      <w:r w:rsidR="0095785E" w:rsidRPr="0095785E">
        <w:t xml:space="preserve">, and must have a caption </w:t>
      </w:r>
      <w:r w:rsidR="00976B35">
        <w:t>above</w:t>
      </w:r>
      <w:r w:rsidR="0095785E" w:rsidRPr="0095785E">
        <w:t xml:space="preserve"> it, </w:t>
      </w:r>
      <w:r w:rsidR="007F1B17">
        <w:t xml:space="preserve">flush left with the margin, </w:t>
      </w:r>
      <w:r w:rsidR="0095785E" w:rsidRPr="0095785E">
        <w:t xml:space="preserve">as shown in </w:t>
      </w:r>
      <w:r w:rsidR="0095785E" w:rsidRPr="0095785E">
        <w:fldChar w:fldCharType="begin"/>
      </w:r>
      <w:r w:rsidR="0095785E" w:rsidRPr="0095785E">
        <w:instrText xml:space="preserve"> REF _Ref480729891 \h  \* MERGEFORMAT </w:instrText>
      </w:r>
      <w:r w:rsidR="0095785E" w:rsidRPr="0095785E">
        <w:fldChar w:fldCharType="separate"/>
      </w:r>
      <w:r w:rsidR="00452F9B">
        <w:rPr>
          <w:b/>
          <w:bCs/>
          <w:lang w:val="en-US"/>
        </w:rPr>
        <w:t>Error! Reference source not found.</w:t>
      </w:r>
      <w:r w:rsidR="0095785E" w:rsidRPr="0095785E">
        <w:fldChar w:fldCharType="end"/>
      </w:r>
      <w:r w:rsidR="0095785E" w:rsidRPr="0095785E">
        <w:t>. Follow the identifier</w:t>
      </w:r>
      <w:r w:rsidR="0095785E" w:rsidRPr="0095785E">
        <w:rPr>
          <w:i/>
          <w:iCs/>
        </w:rPr>
        <w:t xml:space="preserve"> </w:t>
      </w:r>
      <w:r w:rsidR="0095785E" w:rsidRPr="0095785E">
        <w:t>with a colon and one space, then a descriptive caption. The caption itself should use sentence case (capitalise only the first word and proper nouns) and should not end with a full stop unless the caption is a complete sentence.</w:t>
      </w:r>
      <w:r w:rsidR="00976B35">
        <w:t xml:space="preserve"> </w:t>
      </w:r>
      <w:r w:rsidR="00976B35" w:rsidRPr="0095785E">
        <w:t xml:space="preserve">Format the caption </w:t>
      </w:r>
      <w:r w:rsidR="00145647">
        <w:t>by applying</w:t>
      </w:r>
      <w:r w:rsidR="00976B35" w:rsidRPr="0095785E">
        <w:t xml:space="preserve"> the </w:t>
      </w:r>
      <w:r w:rsidR="00976B35" w:rsidRPr="00CA0FBE">
        <w:rPr>
          <w:color w:val="FF0000"/>
        </w:rPr>
        <w:t>Anzjes_</w:t>
      </w:r>
      <w:r w:rsidR="00976B35" w:rsidRPr="0095785E">
        <w:rPr>
          <w:color w:val="FF0000"/>
        </w:rPr>
        <w:t>Caption</w:t>
      </w:r>
      <w:r w:rsidR="00976B35" w:rsidRPr="0095785E">
        <w:t xml:space="preserve"> </w:t>
      </w:r>
      <w:r w:rsidR="00976B35" w:rsidRPr="0095785E">
        <w:rPr>
          <w:bCs/>
        </w:rPr>
        <w:t>style</w:t>
      </w:r>
      <w:r w:rsidR="00976B35" w:rsidRPr="0095785E">
        <w:t>.</w:t>
      </w:r>
    </w:p>
    <w:p w14:paraId="16775022" w14:textId="77777777" w:rsidR="00E94225" w:rsidRPr="0095785E" w:rsidRDefault="00E94225" w:rsidP="00E94225">
      <w:pPr>
        <w:pStyle w:val="AnzjesCaption"/>
      </w:pPr>
      <w:r w:rsidRPr="0095785E">
        <w:t xml:space="preserve">Figure </w:t>
      </w:r>
      <w:r w:rsidRPr="0095785E">
        <w:fldChar w:fldCharType="begin"/>
      </w:r>
      <w:r w:rsidRPr="0095785E">
        <w:instrText xml:space="preserve"> SEQ Figure \* ARABIC </w:instrText>
      </w:r>
      <w:r w:rsidRPr="0095785E">
        <w:fldChar w:fldCharType="separate"/>
      </w:r>
      <w:r w:rsidR="00452F9B">
        <w:rPr>
          <w:noProof/>
        </w:rPr>
        <w:t>1</w:t>
      </w:r>
      <w:r w:rsidRPr="0095785E">
        <w:fldChar w:fldCharType="end"/>
      </w:r>
      <w:r w:rsidRPr="0095785E">
        <w:rPr>
          <w:i/>
        </w:rPr>
        <w:t>:</w:t>
      </w:r>
      <w:r w:rsidRPr="0095785E">
        <w:t xml:space="preserve"> </w:t>
      </w:r>
      <w:r>
        <w:t>Cropped cover of the Australian &amp; New Zealand Journal of European Studies</w:t>
      </w:r>
    </w:p>
    <w:p w14:paraId="7A49DDC6" w14:textId="77777777" w:rsidR="00E94225" w:rsidRPr="00C55E9B" w:rsidRDefault="00E94225" w:rsidP="00E94225">
      <w:pPr>
        <w:pStyle w:val="AnzjesFigure"/>
      </w:pPr>
      <w:r>
        <w:rPr>
          <w:noProof/>
        </w:rPr>
        <w:drawing>
          <wp:inline distT="0" distB="0" distL="0" distR="0" wp14:anchorId="1CEDB9C4" wp14:editId="66FC53E4">
            <wp:extent cx="2940893" cy="2517775"/>
            <wp:effectExtent l="19050" t="19050" r="12065" b="1587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9"/>
                    <a:srcRect l="2509" t="3606" r="2446" b="34461"/>
                    <a:stretch/>
                  </pic:blipFill>
                  <pic:spPr bwMode="auto">
                    <a:xfrm>
                      <a:off x="0" y="0"/>
                      <a:ext cx="2940893" cy="25177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ECDE252" w14:textId="77777777" w:rsidR="0002365E" w:rsidRDefault="0002365E" w:rsidP="0002365E">
      <w:pPr>
        <w:pStyle w:val="AnzjesBody"/>
      </w:pPr>
      <w:r w:rsidRPr="0095785E">
        <w:lastRenderedPageBreak/>
        <w:t xml:space="preserve">Format the paragraph containing the figure </w:t>
      </w:r>
      <w:r>
        <w:t>with the</w:t>
      </w:r>
      <w:r w:rsidRPr="0095785E">
        <w:t xml:space="preserve"> </w:t>
      </w:r>
      <w:r w:rsidRPr="00CA0FBE">
        <w:rPr>
          <w:color w:val="FF0000"/>
        </w:rPr>
        <w:t>Anzjes_</w:t>
      </w:r>
      <w:r w:rsidRPr="0095785E">
        <w:rPr>
          <w:color w:val="FF0000"/>
        </w:rPr>
        <w:t xml:space="preserve">Figure </w:t>
      </w:r>
      <w:r w:rsidRPr="00C4425C">
        <w:t xml:space="preserve">style </w:t>
      </w:r>
      <w:r w:rsidRPr="0095785E">
        <w:t xml:space="preserve">and paste the figure into the document using </w:t>
      </w:r>
      <w:r w:rsidRPr="0095785E">
        <w:rPr>
          <w:i/>
        </w:rPr>
        <w:t>In Line with Text</w:t>
      </w:r>
      <w:r w:rsidRPr="0095785E">
        <w:t xml:space="preserve"> as the wrap option</w:t>
      </w:r>
      <w:r>
        <w:t xml:space="preserve"> (which should be the default option)</w:t>
      </w:r>
      <w:r w:rsidRPr="0095785E">
        <w:t xml:space="preserve"> to ensure it remains attached to the paragraph.</w:t>
      </w:r>
    </w:p>
    <w:p w14:paraId="3B706B7C" w14:textId="77777777" w:rsidR="0095785E" w:rsidRPr="0095785E" w:rsidRDefault="0095785E" w:rsidP="00177191">
      <w:pPr>
        <w:pStyle w:val="AnzjesHeading4"/>
      </w:pPr>
      <w:r w:rsidRPr="0095785E">
        <w:t>Tables</w:t>
      </w:r>
    </w:p>
    <w:p w14:paraId="62D84C16" w14:textId="77777777" w:rsidR="0095785E" w:rsidRPr="0095785E" w:rsidRDefault="00840100" w:rsidP="0095785E">
      <w:pPr>
        <w:pStyle w:val="AnzjesBody"/>
        <w:rPr>
          <w:bCs/>
        </w:rPr>
      </w:pPr>
      <w:r w:rsidRPr="0051399F">
        <w:t xml:space="preserve">Tables should be kept to a minimum and contain only essential data. </w:t>
      </w:r>
      <w:r w:rsidR="0095785E" w:rsidRPr="0095785E">
        <w:t xml:space="preserve">As for figures, each table must be referred to in </w:t>
      </w:r>
      <w:r w:rsidR="00C4425C">
        <w:t xml:space="preserve">the </w:t>
      </w:r>
      <w:r w:rsidR="0095785E" w:rsidRPr="0095785E">
        <w:t>text by its identifier</w:t>
      </w:r>
      <w:r w:rsidR="00145647">
        <w:t xml:space="preserve"> (e.g.</w:t>
      </w:r>
      <w:r w:rsidR="0095785E" w:rsidRPr="0095785E">
        <w:t xml:space="preserve"> </w:t>
      </w:r>
      <w:r w:rsidR="0095785E" w:rsidRPr="0095785E">
        <w:rPr>
          <w:iCs/>
        </w:rPr>
        <w:t>Table</w:t>
      </w:r>
      <w:r w:rsidR="00145647" w:rsidRPr="00145647">
        <w:rPr>
          <w:iCs/>
        </w:rPr>
        <w:t> </w:t>
      </w:r>
      <w:r w:rsidR="0095785E" w:rsidRPr="0095785E">
        <w:rPr>
          <w:iCs/>
        </w:rPr>
        <w:t>1</w:t>
      </w:r>
      <w:r w:rsidR="00145647">
        <w:rPr>
          <w:iCs/>
        </w:rPr>
        <w:t>)</w:t>
      </w:r>
      <w:r w:rsidR="0095785E" w:rsidRPr="0095785E">
        <w:rPr>
          <w:iCs/>
        </w:rPr>
        <w:t>.</w:t>
      </w:r>
      <w:r w:rsidR="0095785E" w:rsidRPr="0095785E">
        <w:t xml:space="preserve"> Table </w:t>
      </w:r>
      <w:r w:rsidR="007F1B17">
        <w:t>captions</w:t>
      </w:r>
      <w:r w:rsidR="0095785E" w:rsidRPr="0095785E">
        <w:t xml:space="preserve"> should be </w:t>
      </w:r>
      <w:r w:rsidR="00145647">
        <w:t>formatted in the same way as figure captions</w:t>
      </w:r>
      <w:r w:rsidR="00963E02">
        <w:t xml:space="preserve"> </w:t>
      </w:r>
      <w:r w:rsidR="008849EA">
        <w:t xml:space="preserve">and styled with </w:t>
      </w:r>
      <w:r w:rsidR="00963E02">
        <w:t>the</w:t>
      </w:r>
      <w:r w:rsidR="0095785E" w:rsidRPr="0095785E">
        <w:t xml:space="preserve"> </w:t>
      </w:r>
      <w:r w:rsidR="007F1B17" w:rsidRPr="007F1B17">
        <w:rPr>
          <w:color w:val="FF0000"/>
        </w:rPr>
        <w:t>Anzjes_Caption</w:t>
      </w:r>
      <w:r w:rsidR="00145647">
        <w:rPr>
          <w:color w:val="FF0000"/>
        </w:rPr>
        <w:t xml:space="preserve"> </w:t>
      </w:r>
      <w:r w:rsidR="00145647" w:rsidRPr="00145647">
        <w:t>style</w:t>
      </w:r>
      <w:r w:rsidR="0095785E" w:rsidRPr="0095785E">
        <w:rPr>
          <w:bCs/>
        </w:rPr>
        <w:t>.</w:t>
      </w:r>
      <w:r w:rsidR="00963E02">
        <w:rPr>
          <w:bCs/>
        </w:rPr>
        <w:t xml:space="preserve"> </w:t>
      </w:r>
      <w:r w:rsidR="00963E02" w:rsidRPr="0095785E">
        <w:t>Create the table itself using</w:t>
      </w:r>
      <w:r w:rsidR="008849EA">
        <w:t xml:space="preserve"> the </w:t>
      </w:r>
      <w:r w:rsidR="008849EA" w:rsidRPr="008849EA">
        <w:rPr>
          <w:i/>
          <w:iCs/>
        </w:rPr>
        <w:t>Insert Table</w:t>
      </w:r>
      <w:r w:rsidR="008849EA">
        <w:t xml:space="preserve"> command from</w:t>
      </w:r>
      <w:r w:rsidR="00963E02" w:rsidRPr="0095785E">
        <w:t xml:space="preserve"> the Tables section on the Insert tab of the </w:t>
      </w:r>
      <w:r w:rsidR="00963E02">
        <w:t xml:space="preserve">Word </w:t>
      </w:r>
      <w:r w:rsidR="00963E02" w:rsidRPr="0095785E">
        <w:t>ribbon.</w:t>
      </w:r>
      <w:r w:rsidR="00963E02">
        <w:t xml:space="preserve"> </w:t>
      </w:r>
      <w:r w:rsidR="008849EA">
        <w:fldChar w:fldCharType="begin"/>
      </w:r>
      <w:r w:rsidR="008849EA">
        <w:instrText xml:space="preserve"> REF _Ref98433119 \h </w:instrText>
      </w:r>
      <w:r w:rsidR="008849EA">
        <w:fldChar w:fldCharType="separate"/>
      </w:r>
      <w:r w:rsidR="00452F9B" w:rsidRPr="0095785E">
        <w:t xml:space="preserve">Table </w:t>
      </w:r>
      <w:r w:rsidR="00452F9B">
        <w:rPr>
          <w:noProof/>
        </w:rPr>
        <w:t>1</w:t>
      </w:r>
      <w:r w:rsidR="008849EA">
        <w:fldChar w:fldCharType="end"/>
      </w:r>
      <w:r w:rsidR="008849EA">
        <w:t xml:space="preserve"> </w:t>
      </w:r>
      <w:r w:rsidR="00E008E0">
        <w:t xml:space="preserve">shows the standard formatting required for a table consisting mainly of </w:t>
      </w:r>
      <w:r w:rsidR="0056749F">
        <w:t>words rather than numbers</w:t>
      </w:r>
      <w:r w:rsidR="00E008E0">
        <w:t>.</w:t>
      </w:r>
    </w:p>
    <w:p w14:paraId="1EEBD23E" w14:textId="77777777" w:rsidR="0095785E" w:rsidRPr="0095785E" w:rsidRDefault="0095785E" w:rsidP="007F1B17">
      <w:pPr>
        <w:pStyle w:val="AnzjesCaption"/>
      </w:pPr>
      <w:bookmarkStart w:id="13" w:name="_Ref98433119"/>
      <w:r w:rsidRPr="0095785E">
        <w:t xml:space="preserve">Table </w:t>
      </w:r>
      <w:r w:rsidRPr="0095785E">
        <w:fldChar w:fldCharType="begin"/>
      </w:r>
      <w:r w:rsidRPr="0095785E">
        <w:instrText xml:space="preserve"> SEQ Table \* ARABIC </w:instrText>
      </w:r>
      <w:r w:rsidRPr="0095785E">
        <w:fldChar w:fldCharType="separate"/>
      </w:r>
      <w:r w:rsidR="00452F9B">
        <w:rPr>
          <w:noProof/>
        </w:rPr>
        <w:t>1</w:t>
      </w:r>
      <w:r w:rsidRPr="0095785E">
        <w:fldChar w:fldCharType="end"/>
      </w:r>
      <w:bookmarkEnd w:id="13"/>
      <w:r w:rsidRPr="0095785E">
        <w:t xml:space="preserve">: Example of a table </w:t>
      </w:r>
      <w:r w:rsidR="0056749F">
        <w:t>caption</w:t>
      </w:r>
      <w:r w:rsidRPr="0095785E">
        <w:t xml:space="preserve"> and table formatting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8"/>
        <w:gridCol w:w="3018"/>
      </w:tblGrid>
      <w:tr w:rsidR="0095785E" w:rsidRPr="0095785E" w14:paraId="02827E68" w14:textId="77777777" w:rsidTr="00741FC4">
        <w:tc>
          <w:tcPr>
            <w:tcW w:w="3018" w:type="dxa"/>
            <w:shd w:val="clear" w:color="auto" w:fill="auto"/>
          </w:tcPr>
          <w:p w14:paraId="57ED5DBA" w14:textId="77777777" w:rsidR="0095785E" w:rsidRPr="0095785E" w:rsidRDefault="0095785E" w:rsidP="00514F07">
            <w:pPr>
              <w:pStyle w:val="AnzjesTableHeader"/>
              <w:keepNext/>
            </w:pPr>
            <w:r w:rsidRPr="0095785E">
              <w:t>Column 1 heading</w:t>
            </w:r>
          </w:p>
        </w:tc>
        <w:tc>
          <w:tcPr>
            <w:tcW w:w="3018" w:type="dxa"/>
            <w:shd w:val="clear" w:color="auto" w:fill="auto"/>
          </w:tcPr>
          <w:p w14:paraId="4831942B" w14:textId="77777777" w:rsidR="0095785E" w:rsidRPr="0095785E" w:rsidRDefault="0095785E" w:rsidP="00514F07">
            <w:pPr>
              <w:pStyle w:val="AnzjesTableHeader"/>
              <w:keepNext/>
            </w:pPr>
            <w:r w:rsidRPr="0095785E">
              <w:t>Column 2 heading</w:t>
            </w:r>
          </w:p>
        </w:tc>
        <w:tc>
          <w:tcPr>
            <w:tcW w:w="3018" w:type="dxa"/>
            <w:shd w:val="clear" w:color="auto" w:fill="auto"/>
          </w:tcPr>
          <w:p w14:paraId="310E092B" w14:textId="77777777" w:rsidR="0095785E" w:rsidRPr="0095785E" w:rsidRDefault="0095785E" w:rsidP="00514F07">
            <w:pPr>
              <w:pStyle w:val="AnzjesTableHeader"/>
              <w:keepNext/>
            </w:pPr>
            <w:r w:rsidRPr="0095785E">
              <w:t>Column 3 heading</w:t>
            </w:r>
          </w:p>
        </w:tc>
      </w:tr>
      <w:tr w:rsidR="0095785E" w:rsidRPr="0095785E" w14:paraId="54D3718D" w14:textId="77777777" w:rsidTr="00741FC4">
        <w:tc>
          <w:tcPr>
            <w:tcW w:w="3018" w:type="dxa"/>
            <w:shd w:val="clear" w:color="auto" w:fill="auto"/>
          </w:tcPr>
          <w:p w14:paraId="63380FB4" w14:textId="77777777" w:rsidR="0095785E" w:rsidRPr="0095785E" w:rsidRDefault="0095785E" w:rsidP="00514F07">
            <w:pPr>
              <w:pStyle w:val="AnzjesTableCellQual"/>
              <w:keepNext/>
            </w:pPr>
            <w:r w:rsidRPr="0095785E">
              <w:t>Table information</w:t>
            </w:r>
          </w:p>
        </w:tc>
        <w:tc>
          <w:tcPr>
            <w:tcW w:w="3018" w:type="dxa"/>
            <w:shd w:val="clear" w:color="auto" w:fill="auto"/>
          </w:tcPr>
          <w:p w14:paraId="78BF67DF" w14:textId="77777777" w:rsidR="0095785E" w:rsidRPr="0095785E" w:rsidRDefault="0095785E" w:rsidP="00514F07">
            <w:pPr>
              <w:pStyle w:val="AnzjesTableCellQual"/>
              <w:keepNext/>
            </w:pPr>
            <w:r w:rsidRPr="0095785E">
              <w:t>Table information</w:t>
            </w:r>
            <w:r w:rsidR="009925E5">
              <w:t xml:space="preserve"> including an abbreviation like ANZJES</w:t>
            </w:r>
          </w:p>
        </w:tc>
        <w:tc>
          <w:tcPr>
            <w:tcW w:w="3018" w:type="dxa"/>
            <w:shd w:val="clear" w:color="auto" w:fill="auto"/>
          </w:tcPr>
          <w:p w14:paraId="6200D40A" w14:textId="77777777" w:rsidR="0095785E" w:rsidRPr="0095785E" w:rsidRDefault="0095785E" w:rsidP="00514F07">
            <w:pPr>
              <w:pStyle w:val="AnzjesTableCellQual"/>
              <w:keepNext/>
            </w:pPr>
            <w:r w:rsidRPr="0095785E">
              <w:t>Table information</w:t>
            </w:r>
          </w:p>
        </w:tc>
      </w:tr>
      <w:tr w:rsidR="0095785E" w:rsidRPr="0095785E" w14:paraId="1F80C460" w14:textId="77777777" w:rsidTr="00741FC4">
        <w:tc>
          <w:tcPr>
            <w:tcW w:w="3018" w:type="dxa"/>
            <w:shd w:val="clear" w:color="auto" w:fill="auto"/>
          </w:tcPr>
          <w:p w14:paraId="4EB819F8" w14:textId="77777777" w:rsidR="0095785E" w:rsidRPr="0095785E" w:rsidRDefault="0095785E" w:rsidP="00514F07">
            <w:pPr>
              <w:pStyle w:val="AnzjesTableCellQual"/>
              <w:keepNext/>
            </w:pPr>
            <w:r w:rsidRPr="0095785E">
              <w:t>Table information</w:t>
            </w:r>
          </w:p>
        </w:tc>
        <w:tc>
          <w:tcPr>
            <w:tcW w:w="3018" w:type="dxa"/>
            <w:shd w:val="clear" w:color="auto" w:fill="auto"/>
          </w:tcPr>
          <w:p w14:paraId="07C92094" w14:textId="77777777" w:rsidR="0095785E" w:rsidRPr="0095785E" w:rsidRDefault="0095785E" w:rsidP="00514F07">
            <w:pPr>
              <w:pStyle w:val="AnzjesTableCellQual"/>
              <w:keepNext/>
            </w:pPr>
            <w:r w:rsidRPr="0095785E">
              <w:t>Table information</w:t>
            </w:r>
          </w:p>
        </w:tc>
        <w:tc>
          <w:tcPr>
            <w:tcW w:w="3018" w:type="dxa"/>
            <w:shd w:val="clear" w:color="auto" w:fill="auto"/>
          </w:tcPr>
          <w:p w14:paraId="49F38D4E" w14:textId="77777777" w:rsidR="0095785E" w:rsidRPr="0095785E" w:rsidRDefault="0095785E" w:rsidP="00514F07">
            <w:pPr>
              <w:pStyle w:val="AnzjesTableCellQual"/>
              <w:keepNext/>
            </w:pPr>
            <w:r w:rsidRPr="0095785E">
              <w:t>Table information</w:t>
            </w:r>
          </w:p>
        </w:tc>
      </w:tr>
      <w:tr w:rsidR="0095785E" w:rsidRPr="0095785E" w14:paraId="45283757" w14:textId="77777777" w:rsidTr="00741FC4">
        <w:tc>
          <w:tcPr>
            <w:tcW w:w="3018" w:type="dxa"/>
            <w:shd w:val="clear" w:color="auto" w:fill="auto"/>
          </w:tcPr>
          <w:p w14:paraId="29FA64F4" w14:textId="77777777" w:rsidR="0095785E" w:rsidRPr="0095785E" w:rsidRDefault="0095785E" w:rsidP="00514F07">
            <w:pPr>
              <w:pStyle w:val="AnzjesTableCellQual"/>
              <w:keepNext/>
            </w:pPr>
            <w:r w:rsidRPr="0095785E">
              <w:t>Table information</w:t>
            </w:r>
          </w:p>
        </w:tc>
        <w:tc>
          <w:tcPr>
            <w:tcW w:w="3018" w:type="dxa"/>
            <w:shd w:val="clear" w:color="auto" w:fill="auto"/>
          </w:tcPr>
          <w:p w14:paraId="05FFA276" w14:textId="77777777" w:rsidR="0095785E" w:rsidRPr="0095785E" w:rsidRDefault="0095785E" w:rsidP="00514F07">
            <w:pPr>
              <w:pStyle w:val="AnzjesTableCellQual"/>
              <w:keepNext/>
            </w:pPr>
            <w:r w:rsidRPr="0095785E">
              <w:t>Table information</w:t>
            </w:r>
          </w:p>
        </w:tc>
        <w:tc>
          <w:tcPr>
            <w:tcW w:w="3018" w:type="dxa"/>
            <w:shd w:val="clear" w:color="auto" w:fill="auto"/>
          </w:tcPr>
          <w:p w14:paraId="3B0836B9" w14:textId="77777777" w:rsidR="0095785E" w:rsidRPr="0095785E" w:rsidRDefault="0095785E" w:rsidP="00514F07">
            <w:pPr>
              <w:pStyle w:val="AnzjesTableCellQual"/>
              <w:keepNext/>
            </w:pPr>
            <w:r w:rsidRPr="0095785E">
              <w:t>Table information</w:t>
            </w:r>
          </w:p>
        </w:tc>
      </w:tr>
    </w:tbl>
    <w:p w14:paraId="32DFE02B" w14:textId="77777777" w:rsidR="00B30EE3" w:rsidRPr="009925E5" w:rsidRDefault="00B30EE3" w:rsidP="00B30EE3">
      <w:pPr>
        <w:pStyle w:val="AnzjesTabFigNote"/>
      </w:pPr>
      <w:r w:rsidRPr="00410A2C">
        <w:t>Source</w:t>
      </w:r>
      <w:r>
        <w:t>: This is a source note.</w:t>
      </w:r>
    </w:p>
    <w:p w14:paraId="51A7AA1C" w14:textId="77777777" w:rsidR="0095785E" w:rsidRDefault="00A80C68" w:rsidP="00410A2C">
      <w:pPr>
        <w:pStyle w:val="AnzjesTabFigNote"/>
      </w:pPr>
      <w:r>
        <w:t>Note</w:t>
      </w:r>
      <w:r w:rsidR="0095785E" w:rsidRPr="0095785E">
        <w:t xml:space="preserve">: </w:t>
      </w:r>
      <w:r w:rsidR="009925E5">
        <w:t>ANZJES = Australian &amp; New Zealand Journal of European Studies.</w:t>
      </w:r>
    </w:p>
    <w:p w14:paraId="2835E1DE" w14:textId="77777777" w:rsidR="00194DDC" w:rsidRDefault="0095785E" w:rsidP="0095785E">
      <w:pPr>
        <w:pStyle w:val="AnzjesBody"/>
      </w:pPr>
      <w:r w:rsidRPr="0095785E">
        <w:t xml:space="preserve">Format the column headings </w:t>
      </w:r>
      <w:r w:rsidR="00E008E0">
        <w:t>by applying the</w:t>
      </w:r>
      <w:r w:rsidRPr="0095785E">
        <w:t xml:space="preserve"> </w:t>
      </w:r>
      <w:r w:rsidR="008849EA" w:rsidRPr="00E008E0">
        <w:rPr>
          <w:bCs/>
          <w:color w:val="FF0000"/>
        </w:rPr>
        <w:t>Anzjes_</w:t>
      </w:r>
      <w:r w:rsidRPr="0095785E">
        <w:rPr>
          <w:bCs/>
          <w:color w:val="FF0000"/>
        </w:rPr>
        <w:t>TableHead</w:t>
      </w:r>
      <w:r w:rsidR="00E008E0" w:rsidRPr="00E008E0">
        <w:rPr>
          <w:bCs/>
          <w:color w:val="FF0000"/>
        </w:rPr>
        <w:t>er</w:t>
      </w:r>
      <w:r w:rsidRPr="0095785E">
        <w:t xml:space="preserve"> </w:t>
      </w:r>
      <w:r w:rsidR="00E008E0" w:rsidRPr="00E008E0">
        <w:t xml:space="preserve">style, which </w:t>
      </w:r>
      <w:r w:rsidR="00696AB9">
        <w:t xml:space="preserve">will </w:t>
      </w:r>
      <w:r w:rsidR="00E008E0" w:rsidRPr="00E008E0">
        <w:t xml:space="preserve">centre the headings. </w:t>
      </w:r>
      <w:r w:rsidR="00194DDC">
        <w:t xml:space="preserve">For a table that consists mainly of </w:t>
      </w:r>
      <w:r w:rsidR="0056749F">
        <w:t>words</w:t>
      </w:r>
      <w:r w:rsidR="00194DDC">
        <w:t>, f</w:t>
      </w:r>
      <w:r w:rsidR="00E008E0">
        <w:t xml:space="preserve">ormat the table cells by applying the </w:t>
      </w:r>
      <w:r w:rsidR="00E008E0" w:rsidRPr="00E008E0">
        <w:rPr>
          <w:color w:val="FF0000"/>
        </w:rPr>
        <w:t>Anzjes_</w:t>
      </w:r>
      <w:r w:rsidRPr="0095785E">
        <w:rPr>
          <w:color w:val="FF0000"/>
        </w:rPr>
        <w:t>Table</w:t>
      </w:r>
      <w:r w:rsidR="00E008E0" w:rsidRPr="00E008E0">
        <w:rPr>
          <w:color w:val="FF0000"/>
        </w:rPr>
        <w:t>Cell</w:t>
      </w:r>
      <w:r w:rsidR="00E008E0">
        <w:rPr>
          <w:color w:val="FF0000"/>
        </w:rPr>
        <w:t>Qual</w:t>
      </w:r>
      <w:r w:rsidR="00E008E0" w:rsidRPr="00E008E0">
        <w:t xml:space="preserve"> style</w:t>
      </w:r>
      <w:r w:rsidR="00194DDC">
        <w:t xml:space="preserve">, which </w:t>
      </w:r>
      <w:r w:rsidR="00696AB9">
        <w:t>will align the text</w:t>
      </w:r>
      <w:r w:rsidR="00194DDC">
        <w:t xml:space="preserve"> flush left</w:t>
      </w:r>
      <w:r w:rsidRPr="0095785E">
        <w:t xml:space="preserve">. </w:t>
      </w:r>
      <w:r w:rsidR="00194DDC">
        <w:t xml:space="preserve">For a table that includes quantitative data such as percentages or </w:t>
      </w:r>
      <w:r w:rsidR="00696AB9">
        <w:t>other</w:t>
      </w:r>
      <w:r w:rsidR="00194DDC">
        <w:t xml:space="preserve"> numbers, format the table cel</w:t>
      </w:r>
      <w:r w:rsidR="00696AB9">
        <w:t>l</w:t>
      </w:r>
      <w:r w:rsidR="00194DDC">
        <w:t xml:space="preserve">s by applying the </w:t>
      </w:r>
      <w:r w:rsidR="00194DDC" w:rsidRPr="0056749F">
        <w:rPr>
          <w:color w:val="FF0000"/>
        </w:rPr>
        <w:t>Anzjes_TableCellQuant</w:t>
      </w:r>
      <w:r w:rsidR="00194DDC" w:rsidRPr="0056749F">
        <w:t xml:space="preserve"> </w:t>
      </w:r>
      <w:r w:rsidR="00194DDC">
        <w:t xml:space="preserve">style, which </w:t>
      </w:r>
      <w:r w:rsidR="00696AB9">
        <w:t>wi</w:t>
      </w:r>
      <w:r w:rsidR="0056749F">
        <w:t>ll</w:t>
      </w:r>
      <w:r w:rsidR="00696AB9">
        <w:t xml:space="preserve"> centr</w:t>
      </w:r>
      <w:r w:rsidR="0056749F">
        <w:t>e</w:t>
      </w:r>
      <w:r w:rsidR="006D61B8">
        <w:t xml:space="preserve"> the text</w:t>
      </w:r>
      <w:r w:rsidR="0056749F">
        <w:t>. Use your judgement as to whether left alignment or centre</w:t>
      </w:r>
      <w:r w:rsidR="006D61B8">
        <w:t>d</w:t>
      </w:r>
      <w:r w:rsidR="0056749F">
        <w:t xml:space="preserve"> alignment looks better according to the </w:t>
      </w:r>
      <w:r w:rsidR="006D61B8">
        <w:t>information</w:t>
      </w:r>
      <w:r w:rsidR="0056749F">
        <w:t xml:space="preserve"> presented in the table.</w:t>
      </w:r>
    </w:p>
    <w:p w14:paraId="3626D87E" w14:textId="77777777" w:rsidR="00194DDC" w:rsidRDefault="00194DDC" w:rsidP="0095785E">
      <w:pPr>
        <w:pStyle w:val="AnzjesBody"/>
      </w:pPr>
      <w:r>
        <w:t>After creating a table, follow these steps to ensure</w:t>
      </w:r>
      <w:r w:rsidR="0095785E" w:rsidRPr="0095785E">
        <w:t xml:space="preserve"> </w:t>
      </w:r>
      <w:r>
        <w:t>it</w:t>
      </w:r>
      <w:r w:rsidR="0095785E" w:rsidRPr="0095785E">
        <w:t xml:space="preserve"> does not split across pages</w:t>
      </w:r>
      <w:r>
        <w:t>:</w:t>
      </w:r>
    </w:p>
    <w:p w14:paraId="0B4C2142" w14:textId="77777777" w:rsidR="00194DDC" w:rsidRDefault="00194DDC" w:rsidP="00194DDC">
      <w:pPr>
        <w:pStyle w:val="AnzjesListNum"/>
        <w:numPr>
          <w:ilvl w:val="0"/>
          <w:numId w:val="25"/>
        </w:numPr>
      </w:pPr>
      <w:r>
        <w:t>Highlight the whole table by clicking on the four-way arrow in the top left corner.</w:t>
      </w:r>
    </w:p>
    <w:p w14:paraId="02A49F65" w14:textId="77777777" w:rsidR="0095785E" w:rsidRDefault="00696AB9" w:rsidP="00194DDC">
      <w:pPr>
        <w:pStyle w:val="AnzjesListNum"/>
        <w:numPr>
          <w:ilvl w:val="0"/>
          <w:numId w:val="25"/>
        </w:numPr>
      </w:pPr>
      <w:r>
        <w:t>In the Paragraph section on the Home tab of the Word ribbon, click the expansion arrow to open the Paragraph dialog box.</w:t>
      </w:r>
    </w:p>
    <w:p w14:paraId="0083A4EF" w14:textId="77777777" w:rsidR="00696AB9" w:rsidRDefault="00696AB9" w:rsidP="00194DDC">
      <w:pPr>
        <w:pStyle w:val="AnzjesListNum"/>
        <w:numPr>
          <w:ilvl w:val="0"/>
          <w:numId w:val="25"/>
        </w:numPr>
      </w:pPr>
      <w:r>
        <w:t xml:space="preserve">Select the </w:t>
      </w:r>
      <w:r w:rsidRPr="00696AB9">
        <w:rPr>
          <w:i/>
          <w:iCs/>
        </w:rPr>
        <w:t>Line and Page Breaks</w:t>
      </w:r>
      <w:r>
        <w:t xml:space="preserve"> tab.</w:t>
      </w:r>
    </w:p>
    <w:p w14:paraId="555B23FD" w14:textId="77777777" w:rsidR="00696AB9" w:rsidRPr="0095785E" w:rsidRDefault="00696AB9" w:rsidP="00194DDC">
      <w:pPr>
        <w:pStyle w:val="AnzjesListNum"/>
        <w:numPr>
          <w:ilvl w:val="0"/>
          <w:numId w:val="25"/>
        </w:numPr>
      </w:pPr>
      <w:r>
        <w:t xml:space="preserve">Tick the box </w:t>
      </w:r>
      <w:r w:rsidRPr="00696AB9">
        <w:rPr>
          <w:i/>
          <w:iCs/>
        </w:rPr>
        <w:t>Keep with next</w:t>
      </w:r>
      <w:r>
        <w:t xml:space="preserve"> then tick OK to close the dialog box.</w:t>
      </w:r>
    </w:p>
    <w:p w14:paraId="24809678" w14:textId="77777777" w:rsidR="00840100" w:rsidRDefault="00840100" w:rsidP="00840100">
      <w:pPr>
        <w:pStyle w:val="AnzjesHeading4"/>
      </w:pPr>
      <w:r>
        <w:t>Figure or table notes</w:t>
      </w:r>
    </w:p>
    <w:p w14:paraId="74194019" w14:textId="77777777" w:rsidR="0095785E" w:rsidRPr="0095785E" w:rsidRDefault="0095785E" w:rsidP="0095785E">
      <w:pPr>
        <w:pStyle w:val="AnzjesBody"/>
      </w:pPr>
      <w:r w:rsidRPr="0095785E">
        <w:t xml:space="preserve">Format </w:t>
      </w:r>
      <w:r w:rsidR="00840100">
        <w:t xml:space="preserve">figure or </w:t>
      </w:r>
      <w:r w:rsidRPr="0095785E">
        <w:t>table</w:t>
      </w:r>
      <w:r w:rsidR="006D61B8">
        <w:t xml:space="preserve"> </w:t>
      </w:r>
      <w:r w:rsidRPr="0095785E">
        <w:t xml:space="preserve">notes (if any) </w:t>
      </w:r>
      <w:r w:rsidR="006D61B8">
        <w:t>by applying the</w:t>
      </w:r>
      <w:r w:rsidRPr="0095785E">
        <w:t xml:space="preserve"> </w:t>
      </w:r>
      <w:r w:rsidR="006D61B8" w:rsidRPr="006D61B8">
        <w:rPr>
          <w:color w:val="FF0000"/>
        </w:rPr>
        <w:t>Anzjes_TabFigNote</w:t>
      </w:r>
      <w:r w:rsidR="006D61B8">
        <w:t xml:space="preserve"> style</w:t>
      </w:r>
      <w:r w:rsidRPr="0095785E">
        <w:t xml:space="preserve">. </w:t>
      </w:r>
      <w:r w:rsidR="006D61B8">
        <w:t>Place</w:t>
      </w:r>
      <w:r w:rsidRPr="0095785E">
        <w:t xml:space="preserve"> notes in the following order:</w:t>
      </w:r>
    </w:p>
    <w:p w14:paraId="07BCFC5E" w14:textId="77777777" w:rsidR="00410A2C" w:rsidRPr="0095785E" w:rsidRDefault="00410A2C" w:rsidP="00410A2C">
      <w:pPr>
        <w:pStyle w:val="AnzjesListNum"/>
        <w:numPr>
          <w:ilvl w:val="0"/>
          <w:numId w:val="26"/>
        </w:numPr>
      </w:pPr>
      <w:r w:rsidRPr="0095785E">
        <w:t>Source note</w:t>
      </w:r>
      <w:r w:rsidR="00B30EE3">
        <w:t>(s)</w:t>
      </w:r>
      <w:r w:rsidRPr="0095785E">
        <w:t xml:space="preserve"> starting with the word </w:t>
      </w:r>
      <w:r w:rsidRPr="00410A2C">
        <w:rPr>
          <w:i/>
        </w:rPr>
        <w:t>Source</w:t>
      </w:r>
      <w:r w:rsidRPr="0095785E">
        <w:t xml:space="preserve"> </w:t>
      </w:r>
      <w:r w:rsidR="00B30EE3">
        <w:t xml:space="preserve">or </w:t>
      </w:r>
      <w:r w:rsidR="00B30EE3" w:rsidRPr="00B30EE3">
        <w:rPr>
          <w:i/>
          <w:iCs/>
        </w:rPr>
        <w:t>Sources</w:t>
      </w:r>
      <w:r w:rsidR="00B30EE3">
        <w:t xml:space="preserve"> </w:t>
      </w:r>
      <w:r w:rsidRPr="0095785E">
        <w:t xml:space="preserve">(not italicised) </w:t>
      </w:r>
      <w:r>
        <w:t>followed by a colon</w:t>
      </w:r>
      <w:r w:rsidR="00F357B5">
        <w:t xml:space="preserve"> and</w:t>
      </w:r>
      <w:r w:rsidRPr="0095785E">
        <w:t xml:space="preserve"> </w:t>
      </w:r>
      <w:r w:rsidR="00F357B5">
        <w:t>citing</w:t>
      </w:r>
      <w:r w:rsidRPr="0095785E">
        <w:t xml:space="preserve"> the </w:t>
      </w:r>
      <w:r w:rsidR="00B30EE3">
        <w:t>source</w:t>
      </w:r>
      <w:r w:rsidR="00F357B5">
        <w:t>(s)</w:t>
      </w:r>
      <w:r w:rsidRPr="0095785E">
        <w:t xml:space="preserve"> of the original data (if applicable), all in one paragraph and ending with a full stop.</w:t>
      </w:r>
      <w:r w:rsidR="00F357B5">
        <w:t xml:space="preserve"> Separate two or more sources with semicolons.</w:t>
      </w:r>
    </w:p>
    <w:p w14:paraId="782A4A3B" w14:textId="77777777" w:rsidR="0095785E" w:rsidRPr="0095785E" w:rsidRDefault="0095785E" w:rsidP="006D61B8">
      <w:pPr>
        <w:pStyle w:val="AnzjesListNum"/>
      </w:pPr>
      <w:r w:rsidRPr="0095785E">
        <w:lastRenderedPageBreak/>
        <w:t>General note</w:t>
      </w:r>
      <w:r w:rsidR="00F357B5">
        <w:t>(</w:t>
      </w:r>
      <w:r w:rsidRPr="0095785E">
        <w:t>s</w:t>
      </w:r>
      <w:r w:rsidR="00F357B5">
        <w:t>)</w:t>
      </w:r>
      <w:r w:rsidRPr="0095785E">
        <w:t xml:space="preserve"> starting with the word </w:t>
      </w:r>
      <w:r w:rsidRPr="0095785E">
        <w:rPr>
          <w:i/>
          <w:iCs/>
        </w:rPr>
        <w:t>Note</w:t>
      </w:r>
      <w:r w:rsidRPr="0095785E">
        <w:rPr>
          <w:iCs/>
        </w:rPr>
        <w:t xml:space="preserve"> or </w:t>
      </w:r>
      <w:r w:rsidRPr="0095785E">
        <w:rPr>
          <w:i/>
          <w:iCs/>
        </w:rPr>
        <w:t>Notes</w:t>
      </w:r>
      <w:r w:rsidRPr="0095785E">
        <w:rPr>
          <w:iCs/>
        </w:rPr>
        <w:t xml:space="preserve"> (not italicised)</w:t>
      </w:r>
      <w:r w:rsidR="00A80C68">
        <w:rPr>
          <w:iCs/>
        </w:rPr>
        <w:t xml:space="preserve"> followed by a colon</w:t>
      </w:r>
      <w:r w:rsidR="00F357B5">
        <w:rPr>
          <w:iCs/>
        </w:rPr>
        <w:t>,</w:t>
      </w:r>
      <w:r w:rsidRPr="0095785E">
        <w:rPr>
          <w:iCs/>
        </w:rPr>
        <w:t xml:space="preserve"> </w:t>
      </w:r>
      <w:r w:rsidRPr="0095785E">
        <w:t>all in one paragraph</w:t>
      </w:r>
      <w:r w:rsidR="00F357B5">
        <w:t xml:space="preserve"> and</w:t>
      </w:r>
      <w:r w:rsidR="00B30EE3">
        <w:t xml:space="preserve"> </w:t>
      </w:r>
      <w:r w:rsidRPr="0095785E">
        <w:t>ending with a full stop.</w:t>
      </w:r>
      <w:r w:rsidR="00F357B5">
        <w:t xml:space="preserve"> Separate two or more notes with semicolons.</w:t>
      </w:r>
    </w:p>
    <w:p w14:paraId="096EC075" w14:textId="77777777" w:rsidR="0095785E" w:rsidRPr="0095785E" w:rsidRDefault="0095785E" w:rsidP="00177191">
      <w:pPr>
        <w:pStyle w:val="AnzjesHeading4"/>
      </w:pPr>
      <w:r w:rsidRPr="0095785E">
        <w:t>Footnotes and endnotes</w:t>
      </w:r>
    </w:p>
    <w:p w14:paraId="78DA0844" w14:textId="77777777" w:rsidR="0095785E" w:rsidRPr="0095785E" w:rsidRDefault="0095785E" w:rsidP="0095785E">
      <w:pPr>
        <w:pStyle w:val="AnzjesBody"/>
      </w:pPr>
      <w:r w:rsidRPr="0095785E">
        <w:t>Use footnotes</w:t>
      </w:r>
      <w:r w:rsidR="00E357BE">
        <w:t xml:space="preserve"> rather than endnotes</w:t>
      </w:r>
      <w:r w:rsidRPr="0095785E">
        <w:t xml:space="preserve"> and minimise their use.</w:t>
      </w:r>
      <w:r w:rsidR="00F357B5">
        <w:t xml:space="preserve"> Insert footnotes using the Insert Footnote feature </w:t>
      </w:r>
      <w:r w:rsidR="00CB622E">
        <w:t xml:space="preserve">on the References tab of the Word ribbon and number them consecutively throughout the paper using superscript Arabic numerals. </w:t>
      </w:r>
      <w:r w:rsidR="000D4C31">
        <w:t>A f</w:t>
      </w:r>
      <w:r w:rsidR="00CB622E">
        <w:t>ootnote</w:t>
      </w:r>
      <w:r w:rsidR="000D4C31">
        <w:t xml:space="preserve"> callout</w:t>
      </w:r>
      <w:r w:rsidR="00CB622E">
        <w:t xml:space="preserve"> should </w:t>
      </w:r>
      <w:r w:rsidR="000D4C31">
        <w:t>come after</w:t>
      </w:r>
      <w:r w:rsidR="00CB622E">
        <w:t xml:space="preserve"> any punctuation mark</w:t>
      </w:r>
      <w:r w:rsidR="00F47536">
        <w:t>,</w:t>
      </w:r>
      <w:r w:rsidR="00CB622E">
        <w:t xml:space="preserve"> except a dash, like this.</w:t>
      </w:r>
      <w:r w:rsidR="00CB622E">
        <w:rPr>
          <w:rStyle w:val="FootnoteReference"/>
        </w:rPr>
        <w:footnoteReference w:id="1"/>
      </w:r>
      <w:r w:rsidR="00F47536">
        <w:t xml:space="preserve"> A footnote callout that appears with a dash – like this</w:t>
      </w:r>
      <w:r w:rsidR="00F47536">
        <w:rPr>
          <w:rStyle w:val="FootnoteReference"/>
        </w:rPr>
        <w:footnoteReference w:id="2"/>
      </w:r>
      <w:r w:rsidR="00F47536">
        <w:t xml:space="preserve"> – should precede the dash.</w:t>
      </w:r>
    </w:p>
    <w:p w14:paraId="5F7C08A5" w14:textId="77777777" w:rsidR="0095785E" w:rsidRPr="0095785E" w:rsidRDefault="0095785E" w:rsidP="00177191">
      <w:pPr>
        <w:pStyle w:val="AnzjesHeading4"/>
      </w:pPr>
      <w:r w:rsidRPr="0095785E">
        <w:t>Acknowledgements</w:t>
      </w:r>
    </w:p>
    <w:p w14:paraId="34648A2B" w14:textId="77777777" w:rsidR="0095785E" w:rsidRPr="0095785E" w:rsidRDefault="0095785E" w:rsidP="0095785E">
      <w:pPr>
        <w:pStyle w:val="AnzjesBody"/>
      </w:pPr>
      <w:r w:rsidRPr="0095785E">
        <w:t xml:space="preserve">Include </w:t>
      </w:r>
      <w:r w:rsidR="000D4C31">
        <w:t>any</w:t>
      </w:r>
      <w:r w:rsidRPr="0095785E">
        <w:t xml:space="preserve"> acknowledgements in a separate paragraph headed Acknowledgements just before the reference list. Format the heading with </w:t>
      </w:r>
      <w:r w:rsidR="003A7E25" w:rsidRPr="003A7E25">
        <w:rPr>
          <w:bCs/>
          <w:color w:val="FF0000"/>
        </w:rPr>
        <w:t>Anzjes_Heading2</w:t>
      </w:r>
      <w:r w:rsidRPr="003A7E25">
        <w:rPr>
          <w:color w:val="FF0000"/>
        </w:rPr>
        <w:t xml:space="preserve"> </w:t>
      </w:r>
      <w:r w:rsidRPr="0095785E">
        <w:t xml:space="preserve">and the text with </w:t>
      </w:r>
      <w:r w:rsidR="003A7E25" w:rsidRPr="003A7E25">
        <w:rPr>
          <w:bCs/>
          <w:color w:val="FF0000"/>
        </w:rPr>
        <w:t>Anzjes_Body</w:t>
      </w:r>
      <w:r w:rsidRPr="0095785E">
        <w:t>.</w:t>
      </w:r>
    </w:p>
    <w:p w14:paraId="10156080" w14:textId="77777777" w:rsidR="0095785E" w:rsidRPr="0095785E" w:rsidRDefault="0095785E" w:rsidP="00177191">
      <w:pPr>
        <w:pStyle w:val="AnzjesHeading4"/>
      </w:pPr>
      <w:r w:rsidRPr="0095785E">
        <w:t>Reference list</w:t>
      </w:r>
    </w:p>
    <w:p w14:paraId="1F23CFEA" w14:textId="77777777" w:rsidR="0095785E" w:rsidRPr="0095785E" w:rsidRDefault="0095785E" w:rsidP="0095785E">
      <w:pPr>
        <w:pStyle w:val="AnzjesBody"/>
      </w:pPr>
      <w:r w:rsidRPr="0095785E">
        <w:t>Format all entries in the reference list using</w:t>
      </w:r>
      <w:r w:rsidR="008B730A">
        <w:t xml:space="preserve"> the</w:t>
      </w:r>
      <w:r w:rsidRPr="0095785E">
        <w:t xml:space="preserve"> </w:t>
      </w:r>
      <w:r w:rsidR="00F31B91" w:rsidRPr="00F31B91">
        <w:rPr>
          <w:color w:val="FF0000"/>
        </w:rPr>
        <w:t>Anzjes_</w:t>
      </w:r>
      <w:r w:rsidRPr="00F31B91">
        <w:rPr>
          <w:color w:val="FF0000"/>
        </w:rPr>
        <w:t>Reference</w:t>
      </w:r>
      <w:r w:rsidR="008B730A">
        <w:rPr>
          <w:color w:val="FF0000"/>
        </w:rPr>
        <w:t xml:space="preserve"> </w:t>
      </w:r>
      <w:r w:rsidR="008B730A" w:rsidRPr="008B730A">
        <w:t>style</w:t>
      </w:r>
      <w:r w:rsidRPr="008B730A">
        <w:t>.</w:t>
      </w:r>
      <w:r w:rsidR="00F31B91">
        <w:rPr>
          <w:bCs/>
        </w:rPr>
        <w:t xml:space="preserve"> </w:t>
      </w:r>
      <w:r w:rsidR="00F31B91">
        <w:t>Follow</w:t>
      </w:r>
      <w:r w:rsidRPr="0095785E">
        <w:t xml:space="preserve"> </w:t>
      </w:r>
      <w:r w:rsidR="00F31B91" w:rsidRPr="00F31B91">
        <w:t>the</w:t>
      </w:r>
      <w:r w:rsidR="00F31B91">
        <w:t xml:space="preserve"> referencing guidelines of the</w:t>
      </w:r>
      <w:r w:rsidR="00BD1003">
        <w:t xml:space="preserve"> 7th edition of the</w:t>
      </w:r>
      <w:r w:rsidR="00F31B91" w:rsidRPr="00F31B91">
        <w:t xml:space="preserve"> </w:t>
      </w:r>
      <w:r w:rsidR="00F31B91" w:rsidRPr="00F31B91">
        <w:rPr>
          <w:i/>
          <w:iCs/>
        </w:rPr>
        <w:t>P</w:t>
      </w:r>
      <w:r w:rsidR="00F31B91" w:rsidRPr="00F31B91">
        <w:rPr>
          <w:i/>
        </w:rPr>
        <w:t>ublication Manual of the American Psychological Association</w:t>
      </w:r>
      <w:r w:rsidR="00F31B91" w:rsidRPr="00F31B91">
        <w:rPr>
          <w:iCs/>
        </w:rPr>
        <w:t xml:space="preserve"> (</w:t>
      </w:r>
      <w:r w:rsidR="00C82393">
        <w:rPr>
          <w:iCs/>
        </w:rPr>
        <w:t>APA</w:t>
      </w:r>
      <w:r w:rsidR="00523FF6">
        <w:rPr>
          <w:iCs/>
        </w:rPr>
        <w:t>,</w:t>
      </w:r>
      <w:r w:rsidR="00C82393">
        <w:rPr>
          <w:iCs/>
        </w:rPr>
        <w:t xml:space="preserve"> </w:t>
      </w:r>
      <w:r w:rsidR="00BD1003">
        <w:rPr>
          <w:iCs/>
        </w:rPr>
        <w:t>2020</w:t>
      </w:r>
      <w:r w:rsidR="00F31B91" w:rsidRPr="00F31B91">
        <w:rPr>
          <w:iCs/>
        </w:rPr>
        <w:t>)</w:t>
      </w:r>
      <w:r w:rsidR="00F31B91" w:rsidRPr="00F31B91">
        <w:t>.</w:t>
      </w:r>
      <w:r w:rsidRPr="0095785E">
        <w:t xml:space="preserve"> Ensure any links to online sources are current.</w:t>
      </w:r>
    </w:p>
    <w:p w14:paraId="3BEC0D70" w14:textId="77777777" w:rsidR="0095785E" w:rsidRPr="0095785E" w:rsidRDefault="0095785E" w:rsidP="00177191">
      <w:pPr>
        <w:pStyle w:val="AnzjesHeading3"/>
      </w:pPr>
      <w:bookmarkStart w:id="14" w:name="_Toc480724442"/>
      <w:bookmarkStart w:id="15" w:name="_Toc488955952"/>
      <w:r w:rsidRPr="0095785E">
        <w:t>Step 4: Final adjustments</w:t>
      </w:r>
      <w:bookmarkEnd w:id="14"/>
      <w:bookmarkEnd w:id="15"/>
    </w:p>
    <w:p w14:paraId="69CC5BD3" w14:textId="77777777" w:rsidR="0095785E" w:rsidRPr="0095785E" w:rsidRDefault="0095785E" w:rsidP="0095785E">
      <w:pPr>
        <w:pStyle w:val="AnzjesBody"/>
      </w:pPr>
      <w:r w:rsidRPr="0095785E">
        <w:t xml:space="preserve">There are now a few final steps before </w:t>
      </w:r>
      <w:r w:rsidR="008B730A">
        <w:t>submitting your</w:t>
      </w:r>
      <w:r w:rsidRPr="0095785E">
        <w:t xml:space="preserve"> paper.</w:t>
      </w:r>
    </w:p>
    <w:p w14:paraId="5FEB9B32" w14:textId="77777777" w:rsidR="0095785E" w:rsidRPr="0095785E" w:rsidRDefault="0095785E" w:rsidP="008B730A">
      <w:pPr>
        <w:pStyle w:val="AnzjesListNum"/>
        <w:numPr>
          <w:ilvl w:val="0"/>
          <w:numId w:val="37"/>
        </w:numPr>
      </w:pPr>
      <w:r w:rsidRPr="0095785E">
        <w:t>Check that the application of styles has not changed italics to regular font.</w:t>
      </w:r>
      <w:r w:rsidR="008B730A">
        <w:t xml:space="preserve"> If necessary, reapply italics manually.</w:t>
      </w:r>
    </w:p>
    <w:p w14:paraId="6CADBC6E" w14:textId="77777777" w:rsidR="0095785E" w:rsidRPr="0095785E" w:rsidRDefault="008B730A" w:rsidP="008B730A">
      <w:pPr>
        <w:pStyle w:val="AnzjesListNum"/>
        <w:numPr>
          <w:ilvl w:val="0"/>
          <w:numId w:val="37"/>
        </w:numPr>
      </w:pPr>
      <w:r>
        <w:t>C</w:t>
      </w:r>
      <w:r w:rsidR="0095785E" w:rsidRPr="0095785E">
        <w:t>heck for any large spaces before your tables or figures. If this problem occurs, move tables or figures to a different position until the spaces are minimised. Note that tables and figures must always fit between two paragraphs; it may be necessary to split a long paragraph into two shorter ones to obtain a good fit.</w:t>
      </w:r>
    </w:p>
    <w:p w14:paraId="6022BE0C" w14:textId="77777777" w:rsidR="0095785E" w:rsidRPr="0095785E" w:rsidRDefault="0095785E" w:rsidP="008B730A">
      <w:pPr>
        <w:pStyle w:val="AnzjesListNum"/>
        <w:numPr>
          <w:ilvl w:val="0"/>
          <w:numId w:val="37"/>
        </w:numPr>
      </w:pPr>
      <w:r w:rsidRPr="0095785E">
        <w:t xml:space="preserve">Check that all works cited in the text are listed in the references and </w:t>
      </w:r>
      <w:r w:rsidRPr="008B730A">
        <w:rPr>
          <w:iCs/>
        </w:rPr>
        <w:t>vice versa</w:t>
      </w:r>
      <w:r w:rsidRPr="0095785E">
        <w:t>.</w:t>
      </w:r>
    </w:p>
    <w:p w14:paraId="2FE1B664" w14:textId="77777777" w:rsidR="0095785E" w:rsidRPr="0095785E" w:rsidRDefault="0095785E" w:rsidP="008B730A">
      <w:pPr>
        <w:pStyle w:val="AnzjesListNum"/>
        <w:numPr>
          <w:ilvl w:val="0"/>
          <w:numId w:val="37"/>
        </w:numPr>
      </w:pPr>
      <w:r w:rsidRPr="0095785E">
        <w:t xml:space="preserve">Use </w:t>
      </w:r>
      <w:r w:rsidR="007E6408">
        <w:t xml:space="preserve">Word’s </w:t>
      </w:r>
      <w:r w:rsidR="00E43E37">
        <w:t>proofing tools</w:t>
      </w:r>
      <w:r w:rsidRPr="0095785E">
        <w:t xml:space="preserve"> to check all spelling.</w:t>
      </w:r>
    </w:p>
    <w:p w14:paraId="011EE09D" w14:textId="77777777" w:rsidR="0095785E" w:rsidRPr="0095785E" w:rsidRDefault="0095785E" w:rsidP="00F948BB">
      <w:pPr>
        <w:pStyle w:val="AnzjesListNum"/>
      </w:pPr>
      <w:r w:rsidRPr="0095785E">
        <w:t xml:space="preserve">Finally, when you are sure that your paper is in its finished form, save your file </w:t>
      </w:r>
      <w:r w:rsidR="00823BDA">
        <w:t xml:space="preserve">again. Ensure you name the file with your </w:t>
      </w:r>
      <w:r w:rsidR="007B7424">
        <w:t>paper’s</w:t>
      </w:r>
      <w:r w:rsidR="00F948BB" w:rsidRPr="00F948BB">
        <w:t xml:space="preserve"> corresponding author’s last name and </w:t>
      </w:r>
      <w:r w:rsidR="007B7424">
        <w:t xml:space="preserve">the </w:t>
      </w:r>
      <w:r w:rsidR="00F948BB">
        <w:t xml:space="preserve">paper </w:t>
      </w:r>
      <w:r w:rsidR="00F948BB" w:rsidRPr="00F948BB">
        <w:t>title (e.g. Smith-Paper title.docx).</w:t>
      </w:r>
    </w:p>
    <w:p w14:paraId="189BA90D" w14:textId="77777777" w:rsidR="00B65323" w:rsidRDefault="00B65323" w:rsidP="00B65323">
      <w:pPr>
        <w:pStyle w:val="AnzjesHeading2"/>
      </w:pPr>
      <w:bookmarkStart w:id="16" w:name="_Toc480724444"/>
      <w:bookmarkStart w:id="17" w:name="_Toc488955953"/>
      <w:bookmarkStart w:id="18" w:name="_Toc93114094"/>
      <w:r>
        <w:t>ANZJES</w:t>
      </w:r>
      <w:r w:rsidRPr="00B65323">
        <w:t xml:space="preserve"> style</w:t>
      </w:r>
      <w:bookmarkEnd w:id="16"/>
      <w:bookmarkEnd w:id="17"/>
      <w:r>
        <w:t xml:space="preserve"> guidelines</w:t>
      </w:r>
    </w:p>
    <w:p w14:paraId="26B10C2D" w14:textId="77777777" w:rsidR="00A34F42" w:rsidRPr="00B65323" w:rsidRDefault="00A810A2" w:rsidP="00A810A2">
      <w:pPr>
        <w:pStyle w:val="AnzjesBody"/>
      </w:pPr>
      <w:r>
        <w:t>P</w:t>
      </w:r>
      <w:r w:rsidR="00B65323" w:rsidRPr="00B65323">
        <w:t>apers</w:t>
      </w:r>
      <w:r>
        <w:t xml:space="preserve"> submitted to the ANZJES</w:t>
      </w:r>
      <w:r w:rsidR="00B65323" w:rsidRPr="00B65323">
        <w:t xml:space="preserve"> should </w:t>
      </w:r>
      <w:r>
        <w:t xml:space="preserve">conform to the following style guidelines, which are based on </w:t>
      </w:r>
      <w:r w:rsidR="009625F8">
        <w:t>a combination of</w:t>
      </w:r>
      <w:r w:rsidR="007B7424">
        <w:t xml:space="preserve"> APA style (</w:t>
      </w:r>
      <w:r w:rsidR="00523FF6">
        <w:t xml:space="preserve">APA, </w:t>
      </w:r>
      <w:r w:rsidR="007B7424">
        <w:t>2020</w:t>
      </w:r>
      <w:r w:rsidR="00523FF6">
        <w:t>, 2022</w:t>
      </w:r>
      <w:r w:rsidR="007B7424">
        <w:t>) a</w:t>
      </w:r>
      <w:r w:rsidR="00A34F42">
        <w:t xml:space="preserve">nd </w:t>
      </w:r>
      <w:r w:rsidR="007B7424">
        <w:t>Australian Government style as specified in</w:t>
      </w:r>
      <w:r w:rsidR="00A34F42">
        <w:t xml:space="preserve"> the</w:t>
      </w:r>
      <w:r w:rsidR="007B7424">
        <w:t xml:space="preserve"> online</w:t>
      </w:r>
      <w:r w:rsidR="00A34F42">
        <w:t xml:space="preserve"> </w:t>
      </w:r>
      <w:r w:rsidR="00A34F42" w:rsidRPr="00A34F42">
        <w:rPr>
          <w:i/>
          <w:iCs/>
        </w:rPr>
        <w:t>Style Manual</w:t>
      </w:r>
      <w:r w:rsidR="00523FF6">
        <w:rPr>
          <w:i/>
          <w:iCs/>
        </w:rPr>
        <w:t xml:space="preserve"> </w:t>
      </w:r>
      <w:r w:rsidR="00523FF6">
        <w:t>(Australian Government, 2022)</w:t>
      </w:r>
      <w:r w:rsidR="00A34F42" w:rsidRPr="007B7424">
        <w:t>.</w:t>
      </w:r>
    </w:p>
    <w:p w14:paraId="712CDF04" w14:textId="77777777" w:rsidR="007C7AB1" w:rsidRDefault="007C7AB1" w:rsidP="007C7AB1">
      <w:pPr>
        <w:pStyle w:val="AnzjesHeading3"/>
      </w:pPr>
      <w:r w:rsidRPr="00B65323">
        <w:lastRenderedPageBreak/>
        <w:t>Capital</w:t>
      </w:r>
      <w:r>
        <w:t>isation</w:t>
      </w:r>
    </w:p>
    <w:p w14:paraId="61749BA4" w14:textId="77777777" w:rsidR="009625F8" w:rsidRDefault="009625F8" w:rsidP="009625F8">
      <w:pPr>
        <w:pStyle w:val="AnzjesBody"/>
      </w:pPr>
      <w:r>
        <w:t>Capitalise the following:</w:t>
      </w:r>
    </w:p>
    <w:p w14:paraId="5183DC7C" w14:textId="77777777" w:rsidR="009625F8" w:rsidRPr="00955056" w:rsidRDefault="009625F8" w:rsidP="00B41D73">
      <w:pPr>
        <w:pStyle w:val="AnzjesBullet"/>
      </w:pPr>
      <w:r w:rsidRPr="00955056">
        <w:t>proper nouns</w:t>
      </w:r>
      <w:r w:rsidR="000B1BF5" w:rsidRPr="00955056">
        <w:t xml:space="preserve"> </w:t>
      </w:r>
      <w:r w:rsidR="00955056" w:rsidRPr="00955056">
        <w:t>and</w:t>
      </w:r>
      <w:r w:rsidR="000B1BF5" w:rsidRPr="00955056">
        <w:t xml:space="preserve"> </w:t>
      </w:r>
      <w:r w:rsidR="00955056">
        <w:t xml:space="preserve">proper adjectives </w:t>
      </w:r>
      <w:r w:rsidR="00885A90">
        <w:t>referring to</w:t>
      </w:r>
      <w:r w:rsidR="00955056">
        <w:t xml:space="preserve"> the </w:t>
      </w:r>
      <w:r w:rsidR="000B1BF5" w:rsidRPr="00955056">
        <w:t xml:space="preserve">names of </w:t>
      </w:r>
      <w:r w:rsidR="00955056" w:rsidRPr="00955056">
        <w:t xml:space="preserve">specific </w:t>
      </w:r>
      <w:r w:rsidR="000B1BF5" w:rsidRPr="00955056">
        <w:t>people, places and organisations</w:t>
      </w:r>
      <w:r w:rsidR="00885A90">
        <w:t xml:space="preserve"> (e.g. Department of Social Services</w:t>
      </w:r>
      <w:r w:rsidR="00955056">
        <w:t>)</w:t>
      </w:r>
    </w:p>
    <w:p w14:paraId="4AAE6F31" w14:textId="77777777" w:rsidR="009625F8" w:rsidRDefault="009625F8" w:rsidP="009625F8">
      <w:pPr>
        <w:pStyle w:val="AnzjesBullet"/>
      </w:pPr>
      <w:r>
        <w:t>names of racial and ethnic groups</w:t>
      </w:r>
    </w:p>
    <w:p w14:paraId="20EC8517" w14:textId="77777777" w:rsidR="009625F8" w:rsidRDefault="009625F8" w:rsidP="009625F8">
      <w:pPr>
        <w:pStyle w:val="AnzjesBullet"/>
      </w:pPr>
      <w:r>
        <w:t>trade and brand names</w:t>
      </w:r>
    </w:p>
    <w:p w14:paraId="2CBA987A" w14:textId="77777777" w:rsidR="009625F8" w:rsidRDefault="009625F8" w:rsidP="009625F8">
      <w:pPr>
        <w:pStyle w:val="AnzjesBullet"/>
      </w:pPr>
      <w:r>
        <w:t>job titles and positions when the title precedes a name (e.g. Prime Minister Ardern)</w:t>
      </w:r>
    </w:p>
    <w:p w14:paraId="0D7840FD" w14:textId="77777777" w:rsidR="009625F8" w:rsidRDefault="009625F8" w:rsidP="009625F8">
      <w:pPr>
        <w:pStyle w:val="AnzjesBullet"/>
      </w:pPr>
      <w:r>
        <w:t>the first word after a colon or end punctuation in a heading, even if it is a minor word.</w:t>
      </w:r>
    </w:p>
    <w:p w14:paraId="5961D405" w14:textId="77777777" w:rsidR="009625F8" w:rsidRDefault="009625F8" w:rsidP="009625F8">
      <w:pPr>
        <w:pStyle w:val="AnzjesBody"/>
      </w:pPr>
      <w:r>
        <w:t>Do not capitalise the following:</w:t>
      </w:r>
    </w:p>
    <w:p w14:paraId="190FA0CE" w14:textId="77777777" w:rsidR="00885A90" w:rsidRDefault="00885A90" w:rsidP="004C77F0">
      <w:pPr>
        <w:pStyle w:val="AnzjesBullet"/>
      </w:pPr>
      <w:r>
        <w:t>an organisation name when it is reduced to a generic element (e.g. Department of Social Services, but “the department”)</w:t>
      </w:r>
    </w:p>
    <w:p w14:paraId="0798C246" w14:textId="77777777" w:rsidR="009625F8" w:rsidRDefault="009625F8" w:rsidP="004C77F0">
      <w:pPr>
        <w:pStyle w:val="AnzjesBullet"/>
      </w:pPr>
      <w:r>
        <w:t>proper adjectives that have a common meaning (check dictionary for guidance), except for personal names within these terms (e.g., eustachian tube, caesarean section; but Freudian slip, Euclidean geometry)</w:t>
      </w:r>
    </w:p>
    <w:p w14:paraId="0A61BD31" w14:textId="77777777" w:rsidR="009625F8" w:rsidRDefault="009625F8" w:rsidP="004C77F0">
      <w:pPr>
        <w:pStyle w:val="AnzjesBullet"/>
      </w:pPr>
      <w:r>
        <w:t>job titles and positions when the title follows the name or refers to a position in general (e.g., Bob Hawke was prime minister of Australia from 1983 to 1991)</w:t>
      </w:r>
    </w:p>
    <w:p w14:paraId="62A3B865" w14:textId="77777777" w:rsidR="009625F8" w:rsidRPr="009625F8" w:rsidRDefault="009625F8" w:rsidP="004C77F0">
      <w:pPr>
        <w:pStyle w:val="AnzjesBullet"/>
      </w:pPr>
      <w:r>
        <w:t xml:space="preserve">diseases, disorders, therapies, treatments, theories, concepts, hypotheses, principles, models and statistical procedures. </w:t>
      </w:r>
      <w:r w:rsidR="007B5925">
        <w:t>(</w:t>
      </w:r>
      <w:r>
        <w:t>However, capitalise personal names that appear within the names of these things.</w:t>
      </w:r>
      <w:r w:rsidR="007B5925">
        <w:t>)</w:t>
      </w:r>
    </w:p>
    <w:p w14:paraId="3DE5F25A" w14:textId="77777777" w:rsidR="00AD5BFA" w:rsidRDefault="00AD5BFA" w:rsidP="00AD5BFA">
      <w:pPr>
        <w:pStyle w:val="AnzjesHeading3"/>
      </w:pPr>
      <w:r>
        <w:t>Lists</w:t>
      </w:r>
    </w:p>
    <w:p w14:paraId="398F439B" w14:textId="77777777" w:rsidR="00F02541" w:rsidRPr="00F02541" w:rsidRDefault="00F02541" w:rsidP="00F02541">
      <w:pPr>
        <w:pStyle w:val="AnzjesBody"/>
      </w:pPr>
      <w:r w:rsidRPr="0095785E">
        <w:t>Lists</w:t>
      </w:r>
      <w:r w:rsidR="0039631B">
        <w:t xml:space="preserve"> (or series)</w:t>
      </w:r>
      <w:r w:rsidRPr="0095785E">
        <w:t xml:space="preserve"> </w:t>
      </w:r>
      <w:r>
        <w:t xml:space="preserve">within a paper </w:t>
      </w:r>
      <w:r w:rsidRPr="0095785E">
        <w:t xml:space="preserve">may be </w:t>
      </w:r>
      <w:r>
        <w:t>lettered,</w:t>
      </w:r>
      <w:r w:rsidRPr="0095785E">
        <w:t xml:space="preserve"> numbered or bulleted</w:t>
      </w:r>
      <w:r>
        <w:t xml:space="preserve">. </w:t>
      </w:r>
      <w:r w:rsidR="0039631B">
        <w:t xml:space="preserve">All items in a list should be parallel in grammatical structure and be introduced with a lead-in sentence or phrase. </w:t>
      </w:r>
      <w:r>
        <w:t>Follow these guidelines for punctuation of list items:</w:t>
      </w:r>
    </w:p>
    <w:p w14:paraId="48217424" w14:textId="77777777" w:rsidR="00AD5BFA" w:rsidRPr="007C7AB1" w:rsidRDefault="00AD5BFA" w:rsidP="00AD5BFA">
      <w:pPr>
        <w:pStyle w:val="AnzjesBullet"/>
      </w:pPr>
      <w:r w:rsidRPr="007C7AB1">
        <w:t xml:space="preserve">Within a sentence or paragraph narrative, identify elements in a list with lowercase letters in parentheses: (a), (b), (c), </w:t>
      </w:r>
      <w:r>
        <w:t xml:space="preserve">and so on. If any item in the list already contains commas, use </w:t>
      </w:r>
      <w:r w:rsidR="007B5925">
        <w:t xml:space="preserve">a </w:t>
      </w:r>
      <w:r>
        <w:t>semicolon</w:t>
      </w:r>
      <w:r w:rsidR="007B5925">
        <w:t xml:space="preserve"> (;)</w:t>
      </w:r>
      <w:r>
        <w:t xml:space="preserve"> instead of </w:t>
      </w:r>
      <w:r w:rsidR="007B5925">
        <w:t xml:space="preserve">a </w:t>
      </w:r>
      <w:r>
        <w:t>comma between each list item.</w:t>
      </w:r>
    </w:p>
    <w:p w14:paraId="467152F5" w14:textId="77777777" w:rsidR="001C1F2D" w:rsidRDefault="00F02541" w:rsidP="00AD5BFA">
      <w:pPr>
        <w:pStyle w:val="AnzjesBullet"/>
      </w:pPr>
      <w:r>
        <w:t>For numbered or bulleted lists, i</w:t>
      </w:r>
      <w:r w:rsidR="001C1F2D" w:rsidRPr="001C1F2D">
        <w:t>f list items are complete sentences, begin each sentence with a capital letter and finish it with a full stop or other appropriate end punctuation.</w:t>
      </w:r>
    </w:p>
    <w:p w14:paraId="04885E98" w14:textId="77777777" w:rsidR="00AD5BFA" w:rsidRPr="00AD5BFA" w:rsidRDefault="00F02541" w:rsidP="00A16450">
      <w:pPr>
        <w:pStyle w:val="AnzjesBullet"/>
      </w:pPr>
      <w:r>
        <w:t>For numbered or bulleted lists, i</w:t>
      </w:r>
      <w:r w:rsidR="001C1F2D" w:rsidRPr="001C1F2D">
        <w:t>f list items are phrases or sentence fragments, begin each item with a lowercase letter (except for proper nouns) and</w:t>
      </w:r>
      <w:r w:rsidR="00B92C7A">
        <w:t xml:space="preserve"> don’t use any punctuation after each list item except for</w:t>
      </w:r>
      <w:r w:rsidR="001E2747">
        <w:t xml:space="preserve"> a full stop after the last item</w:t>
      </w:r>
      <w:r w:rsidR="001C1F2D" w:rsidRPr="001C1F2D">
        <w:t>.</w:t>
      </w:r>
    </w:p>
    <w:p w14:paraId="7EA19BAC" w14:textId="77777777" w:rsidR="00AD5BFA" w:rsidRDefault="00AD5BFA" w:rsidP="00AD5BFA">
      <w:pPr>
        <w:pStyle w:val="AnzjesHeading3"/>
      </w:pPr>
      <w:r w:rsidRPr="00B65323">
        <w:t>Numbers</w:t>
      </w:r>
    </w:p>
    <w:p w14:paraId="18DE0701" w14:textId="77777777" w:rsidR="00AD5BFA" w:rsidRPr="00C82393" w:rsidRDefault="00AD5BFA" w:rsidP="00AD5BFA">
      <w:pPr>
        <w:pStyle w:val="AnzjesBullet"/>
      </w:pPr>
      <w:r>
        <w:t>U</w:t>
      </w:r>
      <w:r w:rsidRPr="00C82393">
        <w:t>se words for numbers zero to nine (except as described below), for numbers at the start of a sentence and for common fractions (e.g. one fifth, tenth).</w:t>
      </w:r>
    </w:p>
    <w:p w14:paraId="18BF6C09" w14:textId="77777777" w:rsidR="00AD5BFA" w:rsidRPr="00C82393" w:rsidRDefault="00AD5BFA" w:rsidP="00AD5BFA">
      <w:pPr>
        <w:pStyle w:val="AnzjesBullet"/>
      </w:pPr>
      <w:r w:rsidRPr="00C82393">
        <w:t>Use numerals for numbers 10 and above.</w:t>
      </w:r>
    </w:p>
    <w:p w14:paraId="02A0515E" w14:textId="77777777" w:rsidR="00AD5BFA" w:rsidRDefault="00AD5BFA" w:rsidP="00AD5BFA">
      <w:pPr>
        <w:pStyle w:val="AnzjesBullet"/>
      </w:pPr>
      <w:r w:rsidRPr="00C82393">
        <w:t xml:space="preserve">Use numerals for measurements, statistical or mathematical functions, fractional or decimal quantities, percentages, ratios, percentiles and quartiles, times, dates (e.g. 5 weeks), ages, scores and points on a scale, exact sums of </w:t>
      </w:r>
      <w:r w:rsidRPr="00C82393">
        <w:lastRenderedPageBreak/>
        <w:t>money</w:t>
      </w:r>
      <w:r>
        <w:t xml:space="preserve"> </w:t>
      </w:r>
      <w:r w:rsidRPr="009E4F9A">
        <w:t>or where they refer to page numbers or are part of numerical sets where there are numbers higher than nine (e.g. 3, 9, 27)</w:t>
      </w:r>
      <w:r w:rsidRPr="00C82393">
        <w:t>.</w:t>
      </w:r>
    </w:p>
    <w:p w14:paraId="5B5E2A2F" w14:textId="77777777" w:rsidR="00AD5BFA" w:rsidRPr="00C82393" w:rsidRDefault="00AD5BFA" w:rsidP="00AD5BFA">
      <w:pPr>
        <w:pStyle w:val="AnzjesBullet"/>
      </w:pPr>
      <w:r w:rsidRPr="00FE4216">
        <w:t xml:space="preserve">Express all percentages as figures followed by % </w:t>
      </w:r>
      <w:r>
        <w:t>(e.g.</w:t>
      </w:r>
      <w:r w:rsidRPr="00FE4216">
        <w:t xml:space="preserve"> 12.4%</w:t>
      </w:r>
      <w:r>
        <w:t>).</w:t>
      </w:r>
    </w:p>
    <w:p w14:paraId="46853F44" w14:textId="77777777" w:rsidR="00AD5BFA" w:rsidRPr="00C82393" w:rsidRDefault="00AD5BFA" w:rsidP="00AD5BFA">
      <w:pPr>
        <w:pStyle w:val="AnzjesBullet"/>
      </w:pPr>
      <w:r w:rsidRPr="00C82393">
        <w:t xml:space="preserve">Use numerals for numbers that denote a specific place in a numbered series and parts of books and tables (e.g. Chapter 4, </w:t>
      </w:r>
      <w:r w:rsidR="004A219C">
        <w:t>Figure 2, r</w:t>
      </w:r>
      <w:r w:rsidRPr="00C82393">
        <w:t>ow 3</w:t>
      </w:r>
      <w:r>
        <w:t>, page 7</w:t>
      </w:r>
      <w:r w:rsidRPr="00C82393">
        <w:t>).</w:t>
      </w:r>
    </w:p>
    <w:p w14:paraId="00D8FDA8" w14:textId="77777777" w:rsidR="00AD5BFA" w:rsidRPr="00C82393" w:rsidRDefault="00AD5BFA" w:rsidP="00AD5BFA">
      <w:pPr>
        <w:pStyle w:val="AnzjesBullet"/>
      </w:pPr>
      <w:r w:rsidRPr="00C82393">
        <w:t>Use a combination of numerals and words to express back-to-back numerical modifiers (e.g. two 1-hour lessons or 2 one-hour lessons).</w:t>
      </w:r>
    </w:p>
    <w:p w14:paraId="1F87C35D" w14:textId="77777777" w:rsidR="00AD5BFA" w:rsidRPr="00C82393" w:rsidRDefault="00AD5BFA" w:rsidP="00AD5BFA">
      <w:pPr>
        <w:pStyle w:val="AnzjesBullet"/>
      </w:pPr>
      <w:r w:rsidRPr="00C82393">
        <w:t>Present the suffixes of ordinal numbers either with or without a superscript (</w:t>
      </w:r>
      <w:proofErr w:type="gramStart"/>
      <w:r w:rsidRPr="00C82393">
        <w:t>e.g.</w:t>
      </w:r>
      <w:proofErr w:type="gramEnd"/>
      <w:r w:rsidRPr="00C82393">
        <w:t xml:space="preserve"> either 21</w:t>
      </w:r>
      <w:r w:rsidRPr="00FE4216">
        <w:rPr>
          <w:vertAlign w:val="superscript"/>
        </w:rPr>
        <w:t>st</w:t>
      </w:r>
      <w:r w:rsidRPr="00C82393">
        <w:t xml:space="preserve"> century or 21st century), but be consistent in presentation throughout</w:t>
      </w:r>
      <w:r w:rsidR="004A219C">
        <w:t xml:space="preserve"> your paper</w:t>
      </w:r>
      <w:r w:rsidRPr="00C82393">
        <w:t>.</w:t>
      </w:r>
    </w:p>
    <w:p w14:paraId="365E9C81" w14:textId="77777777" w:rsidR="00AD5BFA" w:rsidRDefault="00AD5BFA" w:rsidP="00AD5BFA">
      <w:pPr>
        <w:pStyle w:val="AnzjesBullet"/>
      </w:pPr>
      <w:r w:rsidRPr="00C82393">
        <w:t>Use commas between groups of three digits in most figures of 1,000 or more.</w:t>
      </w:r>
    </w:p>
    <w:p w14:paraId="66A6DE69" w14:textId="77777777" w:rsidR="00AD5BFA" w:rsidRDefault="00AD5BFA" w:rsidP="00AD5BFA">
      <w:pPr>
        <w:pStyle w:val="AnzjesBullet"/>
      </w:pPr>
      <w:r>
        <w:t>Write dates in Australian</w:t>
      </w:r>
      <w:r w:rsidR="004E422C">
        <w:t xml:space="preserve"> and New Zealand</w:t>
      </w:r>
      <w:r>
        <w:t xml:space="preserve"> style (e.g. 1 April 2022).</w:t>
      </w:r>
    </w:p>
    <w:p w14:paraId="2AAF46B3" w14:textId="77777777" w:rsidR="00AD5BFA" w:rsidRDefault="00AD5BFA" w:rsidP="00AD5BFA">
      <w:pPr>
        <w:pStyle w:val="AnzjesBullet"/>
      </w:pPr>
      <w:r>
        <w:t>Write periods of time in the following ways:</w:t>
      </w:r>
    </w:p>
    <w:p w14:paraId="213811BA" w14:textId="77777777" w:rsidR="00AD5BFA" w:rsidRDefault="00AD5BFA" w:rsidP="00AD5BFA">
      <w:pPr>
        <w:pStyle w:val="AnzjesBullet"/>
        <w:numPr>
          <w:ilvl w:val="1"/>
          <w:numId w:val="11"/>
        </w:numPr>
      </w:pPr>
      <w:r w:rsidRPr="00B22095">
        <w:t>1970s (not 1970’s)</w:t>
      </w:r>
    </w:p>
    <w:p w14:paraId="7F0CD818" w14:textId="77777777" w:rsidR="00AD5BFA" w:rsidRDefault="00AD5BFA" w:rsidP="00AD5BFA">
      <w:pPr>
        <w:pStyle w:val="AnzjesBullet"/>
        <w:numPr>
          <w:ilvl w:val="1"/>
          <w:numId w:val="11"/>
        </w:numPr>
      </w:pPr>
      <w:r w:rsidRPr="00B22095">
        <w:t>1972</w:t>
      </w:r>
      <w:r w:rsidR="004A219C">
        <w:t>–</w:t>
      </w:r>
      <w:r w:rsidRPr="00B22095">
        <w:t>73 (not 1972</w:t>
      </w:r>
      <w:r w:rsidR="004A219C">
        <w:t>–</w:t>
      </w:r>
      <w:r w:rsidRPr="00B22095">
        <w:t>1973 or 1972</w:t>
      </w:r>
      <w:r w:rsidR="004A219C">
        <w:t>–</w:t>
      </w:r>
      <w:r w:rsidRPr="00B22095">
        <w:t>3)</w:t>
      </w:r>
    </w:p>
    <w:p w14:paraId="2ACB1485" w14:textId="77777777" w:rsidR="00AD5BFA" w:rsidRDefault="00AD5BFA" w:rsidP="00AD5BFA">
      <w:pPr>
        <w:pStyle w:val="AnzjesBullet"/>
        <w:numPr>
          <w:ilvl w:val="1"/>
          <w:numId w:val="11"/>
        </w:numPr>
      </w:pPr>
      <w:r w:rsidRPr="00B22095">
        <w:t>1999</w:t>
      </w:r>
      <w:r w:rsidR="00EA4658">
        <w:t>–</w:t>
      </w:r>
      <w:r w:rsidRPr="00B22095">
        <w:t>2000</w:t>
      </w:r>
      <w:r w:rsidR="004E422C">
        <w:t>.</w:t>
      </w:r>
    </w:p>
    <w:p w14:paraId="4BDEF946" w14:textId="77777777" w:rsidR="00B65323" w:rsidRPr="00B65323" w:rsidRDefault="00B65323" w:rsidP="00A810A2">
      <w:pPr>
        <w:pStyle w:val="AnzjesHeading3"/>
      </w:pPr>
      <w:r w:rsidRPr="00B65323">
        <w:t>Punctuation</w:t>
      </w:r>
    </w:p>
    <w:p w14:paraId="440DCCCB" w14:textId="77777777" w:rsidR="00283FBA" w:rsidRPr="00AF38D9" w:rsidRDefault="00283FBA" w:rsidP="00283FBA">
      <w:pPr>
        <w:pStyle w:val="AnzjesBullet"/>
      </w:pPr>
      <w:r w:rsidRPr="00AF38D9">
        <w:t>Use only one space after a full stop or other closing sentence punctuation.</w:t>
      </w:r>
    </w:p>
    <w:p w14:paraId="607663D5" w14:textId="77777777" w:rsidR="00283FBA" w:rsidRPr="00AF38D9" w:rsidRDefault="00283FBA" w:rsidP="00283FBA">
      <w:pPr>
        <w:pStyle w:val="AnzjesBullet"/>
      </w:pPr>
      <w:r w:rsidRPr="00AF38D9">
        <w:t xml:space="preserve">Do not use full stops in </w:t>
      </w:r>
      <w:r w:rsidR="00E93CF8">
        <w:t xml:space="preserve">acronyms (e.g. WHO, UNCTAD), initialisms (e.g. USA, NSW), contractions (e.g. Dr, Ms, Mr, Qld) or </w:t>
      </w:r>
      <w:r w:rsidRPr="00AF38D9">
        <w:t>abbreviations for academic degrees (e.g. BSc, MA, PhD).</w:t>
      </w:r>
    </w:p>
    <w:p w14:paraId="38E0C549" w14:textId="77777777" w:rsidR="00DF198C" w:rsidRPr="00AF38D9" w:rsidRDefault="00DF198C" w:rsidP="00DF198C">
      <w:pPr>
        <w:pStyle w:val="AnzjesBullet"/>
      </w:pPr>
      <w:r w:rsidRPr="00AF38D9">
        <w:t>Use of a serial or Oxford comma – the final comma before “and” in a list of three or more items</w:t>
      </w:r>
      <w:r>
        <w:t xml:space="preserve"> –</w:t>
      </w:r>
      <w:r w:rsidRPr="00AF38D9">
        <w:t>within a sentence is optional, depending on your preference and whether it is needed to ensure clarity. However, a serial comma should be used with references and citations as per APA style</w:t>
      </w:r>
      <w:r w:rsidR="00523FF6">
        <w:t xml:space="preserve"> (APA, 2020)</w:t>
      </w:r>
      <w:r w:rsidRPr="00AF38D9">
        <w:t>.</w:t>
      </w:r>
    </w:p>
    <w:p w14:paraId="21FD525F" w14:textId="77777777" w:rsidR="00283FBA" w:rsidRPr="00AF38D9" w:rsidRDefault="00283FBA" w:rsidP="00283FBA">
      <w:pPr>
        <w:pStyle w:val="AnzjesBullet"/>
      </w:pPr>
      <w:r w:rsidRPr="00AF38D9">
        <w:t>Use a semicolon to separate two independent clauses joined by a conjunctive adverb such as “however”</w:t>
      </w:r>
      <w:r w:rsidR="00346254">
        <w:t>,</w:t>
      </w:r>
      <w:r w:rsidRPr="00AF38D9">
        <w:t xml:space="preserve"> “therefore”</w:t>
      </w:r>
      <w:r w:rsidR="00346254">
        <w:t>,</w:t>
      </w:r>
      <w:r w:rsidRPr="00AF38D9">
        <w:t xml:space="preserve"> or “nevertheless” (e.g. All four areas of data are available to parents; however, three rely on access to the internet.)</w:t>
      </w:r>
    </w:p>
    <w:p w14:paraId="0E4DB99E" w14:textId="77777777" w:rsidR="00DF198C" w:rsidRPr="00AF38D9" w:rsidRDefault="00DF198C" w:rsidP="00DF198C">
      <w:pPr>
        <w:pStyle w:val="AnzjesBullet"/>
      </w:pPr>
      <w:r w:rsidRPr="00AF38D9">
        <w:t>Use spaced en dashes – like this – for amplification and explanation or to isolate a parenthetic expression within a sentence.</w:t>
      </w:r>
    </w:p>
    <w:p w14:paraId="56D6913A" w14:textId="77777777" w:rsidR="00141138" w:rsidRDefault="00283FBA" w:rsidP="00283FBA">
      <w:pPr>
        <w:pStyle w:val="AnzjesBullet"/>
      </w:pPr>
      <w:r w:rsidRPr="00AF38D9">
        <w:t xml:space="preserve">Use an </w:t>
      </w:r>
      <w:r w:rsidR="00DF198C">
        <w:t xml:space="preserve">unspaced </w:t>
      </w:r>
      <w:r w:rsidRPr="00AF38D9">
        <w:t>en dash</w:t>
      </w:r>
      <w:r w:rsidR="001E6FFC">
        <w:t xml:space="preserve"> rather than a hyphen</w:t>
      </w:r>
      <w:r w:rsidRPr="00AF38D9">
        <w:t xml:space="preserve"> between words of equal weight in a compound adjective (e.g. principal–agent relationship)</w:t>
      </w:r>
      <w:r w:rsidR="00141138">
        <w:t>.</w:t>
      </w:r>
    </w:p>
    <w:p w14:paraId="008E4C12" w14:textId="77777777" w:rsidR="00141138" w:rsidRPr="00AF38D9" w:rsidRDefault="00141138" w:rsidP="00141138">
      <w:pPr>
        <w:pStyle w:val="AnzjesBullet"/>
      </w:pPr>
      <w:r w:rsidRPr="00AF38D9">
        <w:t>Use an unspaced en dash rather than a hyphen to show spans of figures, time and distance (e.g. pp. 45–52).</w:t>
      </w:r>
    </w:p>
    <w:p w14:paraId="6E08F486" w14:textId="77777777" w:rsidR="00283FBA" w:rsidRPr="00AF38D9" w:rsidRDefault="00283FBA" w:rsidP="00DA62A4">
      <w:pPr>
        <w:pStyle w:val="AnzjesBullet"/>
      </w:pPr>
      <w:r w:rsidRPr="00AF38D9">
        <w:t>Do not use back-to-back (nested) parentheses; instead, place the information in one set of parentheses, separated with a semicolon. Use square brackets to enclose parenthetical material that is already in parentheses.</w:t>
      </w:r>
    </w:p>
    <w:p w14:paraId="6899BC67" w14:textId="77777777" w:rsidR="00B65323" w:rsidRPr="00AF38D9" w:rsidRDefault="00141138" w:rsidP="00A810A2">
      <w:pPr>
        <w:pStyle w:val="AnzjesBullet"/>
      </w:pPr>
      <w:r>
        <w:t>Use an ellipsis (…) to show t</w:t>
      </w:r>
      <w:r w:rsidR="00B65323" w:rsidRPr="00AF38D9">
        <w:t>ext omitted in a quotation, with a single blank space either side to separate it from the preceding and following text. Do not add a full stop even if the ellipsis comes at the end of a sentence.</w:t>
      </w:r>
    </w:p>
    <w:p w14:paraId="6CDDAD3B" w14:textId="77777777" w:rsidR="00B65323" w:rsidRPr="00AF38D9" w:rsidRDefault="00B65323" w:rsidP="00A810A2">
      <w:pPr>
        <w:pStyle w:val="AnzjesBullet"/>
      </w:pPr>
      <w:r w:rsidRPr="00AF38D9">
        <w:t xml:space="preserve">Use </w:t>
      </w:r>
      <w:r w:rsidR="00FA1F40">
        <w:t>double</w:t>
      </w:r>
      <w:r w:rsidRPr="00AF38D9">
        <w:t xml:space="preserve"> quotation marks for quotes in text, with </w:t>
      </w:r>
      <w:r w:rsidR="00FA1F40">
        <w:t>single</w:t>
      </w:r>
      <w:r w:rsidRPr="00AF38D9">
        <w:t xml:space="preserve"> quotation marks</w:t>
      </w:r>
      <w:r w:rsidR="00FA1F40">
        <w:t xml:space="preserve"> only</w:t>
      </w:r>
      <w:r w:rsidRPr="00AF38D9">
        <w:t xml:space="preserve"> for </w:t>
      </w:r>
      <w:r w:rsidR="00FA1F40">
        <w:t xml:space="preserve">any </w:t>
      </w:r>
      <w:r w:rsidRPr="00AF38D9">
        <w:t xml:space="preserve">quotes within quotes. </w:t>
      </w:r>
      <w:r w:rsidR="00FA1F40">
        <w:t>Do not use any quotation marks for a block quote.</w:t>
      </w:r>
    </w:p>
    <w:p w14:paraId="0F4BAD44" w14:textId="77777777" w:rsidR="00B65323" w:rsidRPr="00B65323" w:rsidRDefault="00B65323" w:rsidP="009E4F9A">
      <w:pPr>
        <w:pStyle w:val="AnzjesHeading3"/>
      </w:pPr>
      <w:r w:rsidRPr="00B65323">
        <w:t>Shortened forms</w:t>
      </w:r>
    </w:p>
    <w:p w14:paraId="6542D4DB" w14:textId="77777777" w:rsidR="00B65323" w:rsidRPr="00041C35" w:rsidRDefault="00B65323" w:rsidP="007830B5">
      <w:pPr>
        <w:pStyle w:val="AnzjesBody"/>
      </w:pPr>
      <w:r w:rsidRPr="00041C35">
        <w:t xml:space="preserve">Think carefully about whether </w:t>
      </w:r>
      <w:r w:rsidR="00041C35">
        <w:t xml:space="preserve">shortened forms (i.e. </w:t>
      </w:r>
      <w:r w:rsidRPr="00041C35">
        <w:t>abbreviations</w:t>
      </w:r>
      <w:r w:rsidR="00041C35">
        <w:t>,</w:t>
      </w:r>
      <w:r w:rsidRPr="00041C35">
        <w:t xml:space="preserve"> acronyms</w:t>
      </w:r>
      <w:r w:rsidR="00041C35">
        <w:t xml:space="preserve"> or initialisms)</w:t>
      </w:r>
      <w:r w:rsidRPr="00041C35">
        <w:t xml:space="preserve"> are necessary before using them in your paper. Consider your readers’ </w:t>
      </w:r>
      <w:r w:rsidRPr="00041C35">
        <w:lastRenderedPageBreak/>
        <w:t>familiarity with the abbreviated terms and how often they appear in the paper. Follow the</w:t>
      </w:r>
      <w:r w:rsidR="007830B5" w:rsidRPr="00041C35">
        <w:t>se general</w:t>
      </w:r>
      <w:r w:rsidRPr="00041C35">
        <w:t xml:space="preserve"> guidelines</w:t>
      </w:r>
      <w:r w:rsidR="007830B5" w:rsidRPr="00041C35">
        <w:t>:</w:t>
      </w:r>
    </w:p>
    <w:p w14:paraId="4FECB684" w14:textId="77777777" w:rsidR="00041C35" w:rsidRDefault="00041C35" w:rsidP="00041C35">
      <w:pPr>
        <w:pStyle w:val="AnzjesBullet"/>
      </w:pPr>
      <w:r>
        <w:t>When the full version of a term first appears in a sentence in the text, place the abbreviation in parentheses after it: e.g. non-financial corporations (NFCs).</w:t>
      </w:r>
    </w:p>
    <w:p w14:paraId="4722C171" w14:textId="77777777" w:rsidR="00041C35" w:rsidRDefault="00041C35" w:rsidP="00041C35">
      <w:pPr>
        <w:pStyle w:val="AnzjesBullet"/>
      </w:pPr>
      <w:r>
        <w:t xml:space="preserve">When the full version of a term first appears in parenthetical text, place the abbreviation in square brackets after it (e.g. </w:t>
      </w:r>
      <w:r w:rsidR="00516813">
        <w:t>non-financial corporations</w:t>
      </w:r>
      <w:r>
        <w:t xml:space="preserve"> [</w:t>
      </w:r>
      <w:r w:rsidR="00516813">
        <w:t>NFCs</w:t>
      </w:r>
      <w:r>
        <w:t>]). Do not use nested parentheses.</w:t>
      </w:r>
    </w:p>
    <w:p w14:paraId="1B63DD93" w14:textId="77777777" w:rsidR="00041C35" w:rsidRDefault="00041C35" w:rsidP="00041C35">
      <w:pPr>
        <w:pStyle w:val="AnzjesBullet"/>
      </w:pPr>
      <w:r>
        <w:t>Do not define abbreviations that are listed as terms in the dictionary (e.g. AIDS</w:t>
      </w:r>
      <w:r w:rsidR="00441124">
        <w:t>, COVID-19</w:t>
      </w:r>
      <w:r>
        <w:t>) or measurement, time, Latin, and many statistical abbreviations.</w:t>
      </w:r>
    </w:p>
    <w:p w14:paraId="61381BDA" w14:textId="77777777" w:rsidR="00041C35" w:rsidRDefault="00041C35" w:rsidP="00041C35">
      <w:pPr>
        <w:pStyle w:val="AnzjesBullet"/>
      </w:pPr>
      <w:r>
        <w:t>If an abbreviation is used in the abstract as well as the main text, define it on first use in both places.</w:t>
      </w:r>
    </w:p>
    <w:p w14:paraId="40917707" w14:textId="77777777" w:rsidR="00041C35" w:rsidRDefault="00041C35" w:rsidP="00041C35">
      <w:pPr>
        <w:pStyle w:val="AnzjesBullet"/>
      </w:pPr>
      <w:r>
        <w:t>After you define an abbreviation, use only the abbreviation. Do not alternate between spelling out the term and abbreviating it.</w:t>
      </w:r>
    </w:p>
    <w:p w14:paraId="2790128C" w14:textId="77777777" w:rsidR="00041C35" w:rsidRDefault="00041C35" w:rsidP="00041C35">
      <w:pPr>
        <w:pStyle w:val="AnzjesBullet"/>
      </w:pPr>
      <w:r>
        <w:t>Define abbreviations used in tables and figures within each table and figure, even if the abbreviations have already been defined in the text.</w:t>
      </w:r>
    </w:p>
    <w:p w14:paraId="5D2457E1" w14:textId="77777777" w:rsidR="00B65323" w:rsidRPr="00041C35" w:rsidRDefault="003C1496" w:rsidP="009E4F9A">
      <w:pPr>
        <w:pStyle w:val="AnzjesBullet"/>
      </w:pPr>
      <w:r>
        <w:t xml:space="preserve">Use </w:t>
      </w:r>
      <w:r w:rsidR="00B65323" w:rsidRPr="00041C35">
        <w:t xml:space="preserve">Latin </w:t>
      </w:r>
      <w:r w:rsidR="00516813">
        <w:t>abbreviations</w:t>
      </w:r>
      <w:r w:rsidR="00B65323" w:rsidRPr="00041C35">
        <w:t xml:space="preserve"> such as </w:t>
      </w:r>
      <w:r w:rsidR="00B65323" w:rsidRPr="003C1496">
        <w:rPr>
          <w:i/>
        </w:rPr>
        <w:t>etc.</w:t>
      </w:r>
      <w:r w:rsidR="00B65323" w:rsidRPr="00516813">
        <w:rPr>
          <w:iCs/>
        </w:rPr>
        <w:t xml:space="preserve">, </w:t>
      </w:r>
      <w:r w:rsidR="00B65323" w:rsidRPr="003C1496">
        <w:rPr>
          <w:i/>
        </w:rPr>
        <w:t>e.g.</w:t>
      </w:r>
      <w:r w:rsidR="00B65323" w:rsidRPr="00516813">
        <w:rPr>
          <w:iCs/>
        </w:rPr>
        <w:t xml:space="preserve"> and </w:t>
      </w:r>
      <w:r w:rsidR="00B65323" w:rsidRPr="003C1496">
        <w:rPr>
          <w:i/>
        </w:rPr>
        <w:t>i.e.</w:t>
      </w:r>
      <w:r w:rsidR="00B65323" w:rsidRPr="00041C35">
        <w:t xml:space="preserve"> </w:t>
      </w:r>
      <w:r>
        <w:t>only within parent</w:t>
      </w:r>
      <w:r w:rsidR="00B65323" w:rsidRPr="00041C35">
        <w:t>heses.</w:t>
      </w:r>
      <w:r>
        <w:t xml:space="preserve"> In the narrative, use the translation of the Latin term.</w:t>
      </w:r>
    </w:p>
    <w:p w14:paraId="564C3678" w14:textId="77777777" w:rsidR="00B65323" w:rsidRDefault="00B65323" w:rsidP="00C82393">
      <w:pPr>
        <w:pStyle w:val="AnzjesHeading3"/>
      </w:pPr>
      <w:r w:rsidRPr="00B65323">
        <w:t>Spelling</w:t>
      </w:r>
      <w:r w:rsidR="001E6FFC">
        <w:t xml:space="preserve"> and hyphenation</w:t>
      </w:r>
    </w:p>
    <w:p w14:paraId="44D26A5E" w14:textId="77777777" w:rsidR="001E6FFC" w:rsidRPr="001E6FFC" w:rsidRDefault="001E6FFC" w:rsidP="001E6FFC">
      <w:pPr>
        <w:pStyle w:val="AnzjesBody"/>
      </w:pPr>
      <w:r>
        <w:t>Spelling guidelines:</w:t>
      </w:r>
    </w:p>
    <w:p w14:paraId="57476AA5" w14:textId="77777777" w:rsidR="00AD5BFA" w:rsidRDefault="00B65323" w:rsidP="00AD5BFA">
      <w:pPr>
        <w:pStyle w:val="AnzjesBullet"/>
      </w:pPr>
      <w:r w:rsidRPr="00B65323">
        <w:t>The standard spelling reference</w:t>
      </w:r>
      <w:r w:rsidR="00C62793">
        <w:t xml:space="preserve"> for the ANZJES</w:t>
      </w:r>
      <w:r w:rsidRPr="00B65323">
        <w:t xml:space="preserve"> is t</w:t>
      </w:r>
      <w:r w:rsidRPr="00B65323">
        <w:rPr>
          <w:iCs/>
        </w:rPr>
        <w:t>he Macquarie Dictionary</w:t>
      </w:r>
      <w:r w:rsidRPr="00B65323">
        <w:t>.</w:t>
      </w:r>
    </w:p>
    <w:p w14:paraId="69D31541" w14:textId="77777777" w:rsidR="00AD5BFA" w:rsidRDefault="00B65323" w:rsidP="00AD5BFA">
      <w:pPr>
        <w:pStyle w:val="AnzjesBullet"/>
      </w:pPr>
      <w:proofErr w:type="gramStart"/>
      <w:r w:rsidRPr="00B65323">
        <w:t>In particular, spell</w:t>
      </w:r>
      <w:proofErr w:type="gramEnd"/>
      <w:r w:rsidRPr="00B65323">
        <w:t xml:space="preserve"> words like </w:t>
      </w:r>
      <w:r w:rsidR="00931BB5">
        <w:rPr>
          <w:i/>
        </w:rPr>
        <w:t xml:space="preserve">visualise </w:t>
      </w:r>
      <w:r w:rsidR="00931BB5" w:rsidRPr="00931BB5">
        <w:rPr>
          <w:iCs/>
        </w:rPr>
        <w:t>and</w:t>
      </w:r>
      <w:r w:rsidR="00931BB5">
        <w:rPr>
          <w:i/>
        </w:rPr>
        <w:t xml:space="preserve"> organisation</w:t>
      </w:r>
      <w:r w:rsidRPr="00B65323">
        <w:t xml:space="preserve"> with the ending </w:t>
      </w:r>
      <w:r w:rsidRPr="00B65323">
        <w:rPr>
          <w:i/>
        </w:rPr>
        <w:t>-ise</w:t>
      </w:r>
      <w:r w:rsidR="00931BB5">
        <w:rPr>
          <w:i/>
        </w:rPr>
        <w:t xml:space="preserve"> </w:t>
      </w:r>
      <w:r w:rsidR="00931BB5" w:rsidRPr="00931BB5">
        <w:rPr>
          <w:iCs/>
        </w:rPr>
        <w:t>or</w:t>
      </w:r>
      <w:r w:rsidR="00931BB5">
        <w:rPr>
          <w:i/>
        </w:rPr>
        <w:t xml:space="preserve"> -isation</w:t>
      </w:r>
      <w:r w:rsidRPr="00B65323">
        <w:t xml:space="preserve">, not </w:t>
      </w:r>
      <w:r w:rsidRPr="00B65323">
        <w:noBreakHyphen/>
      </w:r>
      <w:r w:rsidRPr="00B65323">
        <w:rPr>
          <w:i/>
        </w:rPr>
        <w:t>ize</w:t>
      </w:r>
      <w:r w:rsidR="00931BB5">
        <w:rPr>
          <w:i/>
        </w:rPr>
        <w:t xml:space="preserve"> </w:t>
      </w:r>
      <w:r w:rsidR="00931BB5" w:rsidRPr="00931BB5">
        <w:rPr>
          <w:iCs/>
        </w:rPr>
        <w:t xml:space="preserve">or </w:t>
      </w:r>
      <w:r w:rsidR="00931BB5">
        <w:rPr>
          <w:i/>
        </w:rPr>
        <w:t>-ization</w:t>
      </w:r>
      <w:r w:rsidRPr="00B65323">
        <w:t xml:space="preserve">, and words like </w:t>
      </w:r>
      <w:r w:rsidRPr="00B65323">
        <w:rPr>
          <w:i/>
        </w:rPr>
        <w:t>centre</w:t>
      </w:r>
      <w:r w:rsidRPr="00B65323">
        <w:t xml:space="preserve"> with the ending </w:t>
      </w:r>
      <w:r w:rsidRPr="00B65323">
        <w:rPr>
          <w:i/>
        </w:rPr>
        <w:t>-re</w:t>
      </w:r>
      <w:r w:rsidRPr="00B65323">
        <w:t xml:space="preserve">, not </w:t>
      </w:r>
      <w:r w:rsidRPr="00B65323">
        <w:rPr>
          <w:i/>
        </w:rPr>
        <w:t>-er</w:t>
      </w:r>
      <w:r w:rsidRPr="00B65323">
        <w:t>.</w:t>
      </w:r>
      <w:r w:rsidR="001E6FFC">
        <w:t xml:space="preserve"> </w:t>
      </w:r>
      <w:r w:rsidR="00335C26">
        <w:t>However,</w:t>
      </w:r>
      <w:r w:rsidR="001E6FFC">
        <w:t xml:space="preserve"> </w:t>
      </w:r>
      <w:r w:rsidR="00335C26">
        <w:t>f</w:t>
      </w:r>
      <w:r w:rsidR="001E6FFC">
        <w:t>or direct quotes, maintain the spelling in the source material</w:t>
      </w:r>
      <w:r w:rsidR="00335C26">
        <w:t>.</w:t>
      </w:r>
    </w:p>
    <w:p w14:paraId="61E34C3B" w14:textId="77777777" w:rsidR="00AD5BFA" w:rsidRDefault="00E43E37" w:rsidP="00AD5BFA">
      <w:pPr>
        <w:pStyle w:val="AnzjesBullet"/>
      </w:pPr>
      <w:r>
        <w:t>E</w:t>
      </w:r>
      <w:r w:rsidR="00B65323" w:rsidRPr="00B65323">
        <w:t xml:space="preserve">nsure you specify the language used in </w:t>
      </w:r>
      <w:r>
        <w:t>your</w:t>
      </w:r>
      <w:r w:rsidR="00B65323" w:rsidRPr="00B65323">
        <w:t xml:space="preserve"> document as English (Australia).</w:t>
      </w:r>
    </w:p>
    <w:p w14:paraId="67F069AB" w14:textId="77777777" w:rsidR="00B65323" w:rsidRDefault="00AD5BFA" w:rsidP="00AD5BFA">
      <w:pPr>
        <w:pStyle w:val="AnzjesBullet"/>
      </w:pPr>
      <w:r>
        <w:t>Present a</w:t>
      </w:r>
      <w:r w:rsidR="00C82393" w:rsidRPr="00C82393">
        <w:t xml:space="preserve">ll non-English words in italics unless they are commonly used and appear in </w:t>
      </w:r>
      <w:r w:rsidR="009E4F9A">
        <w:t xml:space="preserve">an </w:t>
      </w:r>
      <w:r w:rsidR="00C82393" w:rsidRPr="00C82393">
        <w:t>English dictionary (e.g. ad hoc).</w:t>
      </w:r>
    </w:p>
    <w:p w14:paraId="0D12B717" w14:textId="77777777" w:rsidR="001E6FFC" w:rsidRDefault="001E6FFC" w:rsidP="00335C26">
      <w:pPr>
        <w:pStyle w:val="AnzjesBody"/>
      </w:pPr>
      <w:r>
        <w:t>Hyphenation guidelines for temporary compounds:</w:t>
      </w:r>
    </w:p>
    <w:p w14:paraId="2206AB66" w14:textId="77777777" w:rsidR="001E6FFC" w:rsidRDefault="001E6FFC" w:rsidP="001E6FFC">
      <w:pPr>
        <w:pStyle w:val="AnzjesBullet"/>
      </w:pPr>
      <w:r>
        <w:t>When in doubt about clarity, use a hyphen for adjectival modifiers before the noun</w:t>
      </w:r>
      <w:r w:rsidR="004B045B">
        <w:t xml:space="preserve"> (e.g. small-business owners; up-to-date accounts)</w:t>
      </w:r>
      <w:r>
        <w:t>.</w:t>
      </w:r>
    </w:p>
    <w:p w14:paraId="74EA2AD0" w14:textId="77777777" w:rsidR="001E6FFC" w:rsidRDefault="001E6FFC" w:rsidP="001E6FFC">
      <w:pPr>
        <w:pStyle w:val="AnzjesBullet"/>
      </w:pPr>
      <w:r>
        <w:t>Do not use a hyphen if the compound appears after the noun it modifies</w:t>
      </w:r>
      <w:r w:rsidR="004B045B">
        <w:t xml:space="preserve"> (e.g. owners of small businesses; the accounts are up to date)</w:t>
      </w:r>
      <w:r>
        <w:t>.</w:t>
      </w:r>
    </w:p>
    <w:p w14:paraId="567967B2" w14:textId="77777777" w:rsidR="001E6FFC" w:rsidRDefault="001E6FFC" w:rsidP="001E6FFC">
      <w:pPr>
        <w:pStyle w:val="AnzjesBullet"/>
      </w:pPr>
      <w:r>
        <w:t>Write most words formed with prefixes and suffixes as one word without a hyphen</w:t>
      </w:r>
      <w:r w:rsidR="00335C26">
        <w:t xml:space="preserve"> (e.g. socioeconomic)</w:t>
      </w:r>
      <w:r>
        <w:t>.</w:t>
      </w:r>
    </w:p>
    <w:p w14:paraId="0A8BF481" w14:textId="77777777" w:rsidR="001E6FFC" w:rsidRPr="00B65323" w:rsidRDefault="00335C26" w:rsidP="001E6FFC">
      <w:pPr>
        <w:pStyle w:val="AnzjesBullet"/>
      </w:pPr>
      <w:r>
        <w:t>Consult a style guide</w:t>
      </w:r>
      <w:r w:rsidR="00546AEF">
        <w:t xml:space="preserve"> such as APA (2020) or the </w:t>
      </w:r>
      <w:r w:rsidR="00546AEF" w:rsidRPr="00546AEF">
        <w:rPr>
          <w:i/>
          <w:iCs/>
        </w:rPr>
        <w:t>Style Manual</w:t>
      </w:r>
      <w:r w:rsidR="00546AEF">
        <w:t xml:space="preserve"> (Australian Government, 2022)</w:t>
      </w:r>
      <w:r w:rsidR="001E6FFC">
        <w:t xml:space="preserve"> for further hyphenation guidelines.</w:t>
      </w:r>
    </w:p>
    <w:p w14:paraId="362FAE5D" w14:textId="77777777" w:rsidR="000D1063" w:rsidRDefault="000D1063" w:rsidP="000D1063">
      <w:pPr>
        <w:pStyle w:val="AnzjesHeading2"/>
      </w:pPr>
      <w:bookmarkStart w:id="19" w:name="_Hlk99729018"/>
      <w:bookmarkEnd w:id="18"/>
      <w:r>
        <w:t>References</w:t>
      </w:r>
    </w:p>
    <w:p w14:paraId="5E40F3C9" w14:textId="77777777" w:rsidR="009F23CB" w:rsidRPr="009F23CB" w:rsidRDefault="009F23CB" w:rsidP="009F23CB">
      <w:pPr>
        <w:pStyle w:val="AnzjesReference"/>
      </w:pPr>
      <w:r>
        <w:t xml:space="preserve">American Psychological Association. (2022). </w:t>
      </w:r>
      <w:r w:rsidRPr="009F23CB">
        <w:rPr>
          <w:i/>
          <w:iCs/>
        </w:rPr>
        <w:t>APA style blog</w:t>
      </w:r>
      <w:r>
        <w:t>.</w:t>
      </w:r>
      <w:r w:rsidRPr="009F23CB">
        <w:t xml:space="preserve"> </w:t>
      </w:r>
      <w:hyperlink r:id="rId10" w:history="1">
        <w:r w:rsidRPr="00B8610D">
          <w:rPr>
            <w:rStyle w:val="Hyperlink"/>
            <w:rFonts w:ascii="Georgia" w:hAnsi="Georgia"/>
            <w:sz w:val="22"/>
          </w:rPr>
          <w:t>https://apastyle.apa.org/blog</w:t>
        </w:r>
      </w:hyperlink>
      <w:r>
        <w:t xml:space="preserve"> </w:t>
      </w:r>
      <w:r w:rsidRPr="006515FB">
        <w:rPr>
          <w:color w:val="FF0000"/>
        </w:rPr>
        <w:t>(Style: Anzjes_Ref)</w:t>
      </w:r>
    </w:p>
    <w:p w14:paraId="7CD5433A" w14:textId="77777777" w:rsidR="000D1063" w:rsidRPr="00792F21" w:rsidRDefault="00792F21" w:rsidP="00792F21">
      <w:pPr>
        <w:pStyle w:val="AnzjesReference"/>
        <w:rPr>
          <w:szCs w:val="22"/>
        </w:rPr>
      </w:pPr>
      <w:r w:rsidRPr="00792F21">
        <w:rPr>
          <w:szCs w:val="22"/>
        </w:rPr>
        <w:t xml:space="preserve">American Psychological Association. (2020). </w:t>
      </w:r>
      <w:r w:rsidRPr="00792F21">
        <w:rPr>
          <w:i/>
          <w:iCs/>
          <w:szCs w:val="22"/>
        </w:rPr>
        <w:t>P</w:t>
      </w:r>
      <w:r w:rsidRPr="00792F21">
        <w:rPr>
          <w:i/>
          <w:szCs w:val="22"/>
        </w:rPr>
        <w:t>ublication manual of the American Psychological Association</w:t>
      </w:r>
      <w:r w:rsidRPr="00792F21">
        <w:rPr>
          <w:iCs/>
          <w:szCs w:val="22"/>
        </w:rPr>
        <w:t xml:space="preserve"> (7th ed.). </w:t>
      </w:r>
      <w:hyperlink r:id="rId11" w:history="1">
        <w:r w:rsidRPr="00792F21">
          <w:rPr>
            <w:rStyle w:val="Hyperlink"/>
            <w:rFonts w:ascii="Georgia" w:hAnsi="Georgia"/>
            <w:iCs/>
            <w:sz w:val="22"/>
            <w:szCs w:val="22"/>
          </w:rPr>
          <w:t>https://doi.org/10.1037/0000165-000</w:t>
        </w:r>
      </w:hyperlink>
      <w:r>
        <w:rPr>
          <w:szCs w:val="22"/>
        </w:rPr>
        <w:t xml:space="preserve"> </w:t>
      </w:r>
    </w:p>
    <w:p w14:paraId="1C8106C7" w14:textId="77777777" w:rsidR="00792F21" w:rsidRDefault="00792F21" w:rsidP="00F01913">
      <w:pPr>
        <w:pStyle w:val="AnzjesReference"/>
      </w:pPr>
      <w:r>
        <w:t xml:space="preserve">Australian Government. (2022). </w:t>
      </w:r>
      <w:r w:rsidRPr="00792F21">
        <w:rPr>
          <w:i/>
          <w:iCs/>
        </w:rPr>
        <w:t>Style manual</w:t>
      </w:r>
      <w:r>
        <w:t xml:space="preserve">. </w:t>
      </w:r>
      <w:hyperlink r:id="rId12" w:history="1">
        <w:r w:rsidRPr="00B8610D">
          <w:rPr>
            <w:rStyle w:val="Hyperlink"/>
            <w:rFonts w:ascii="Georgia" w:hAnsi="Georgia"/>
            <w:sz w:val="22"/>
          </w:rPr>
          <w:t>https://www.stylemanual.gov.au/</w:t>
        </w:r>
      </w:hyperlink>
      <w:bookmarkEnd w:id="19"/>
    </w:p>
    <w:sectPr w:rsidR="00792F21" w:rsidSect="000B2DA1">
      <w:footnotePr>
        <w:numRestart w:val="eachSect"/>
      </w:footnotePr>
      <w:pgSz w:w="11900"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C169" w14:textId="77777777" w:rsidR="00452F9B" w:rsidRDefault="00452F9B" w:rsidP="003A7244">
      <w:r>
        <w:separator/>
      </w:r>
    </w:p>
    <w:p w14:paraId="26BBDB26" w14:textId="77777777" w:rsidR="00452F9B" w:rsidRDefault="00452F9B"/>
  </w:endnote>
  <w:endnote w:type="continuationSeparator" w:id="0">
    <w:p w14:paraId="2BCCB600" w14:textId="77777777" w:rsidR="00452F9B" w:rsidRDefault="00452F9B" w:rsidP="003A7244">
      <w:r>
        <w:continuationSeparator/>
      </w:r>
    </w:p>
    <w:p w14:paraId="676EF118" w14:textId="77777777" w:rsidR="00452F9B" w:rsidRDefault="0045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3ACD" w14:textId="77777777" w:rsidR="00452F9B" w:rsidRDefault="00452F9B" w:rsidP="003A7244">
      <w:r>
        <w:separator/>
      </w:r>
    </w:p>
  </w:footnote>
  <w:footnote w:type="continuationSeparator" w:id="0">
    <w:p w14:paraId="471BA30D" w14:textId="77777777" w:rsidR="00452F9B" w:rsidRDefault="00452F9B" w:rsidP="003A7244">
      <w:r>
        <w:continuationSeparator/>
      </w:r>
    </w:p>
    <w:p w14:paraId="0A4AF6E7" w14:textId="77777777" w:rsidR="00452F9B" w:rsidRDefault="00452F9B"/>
  </w:footnote>
  <w:footnote w:id="1">
    <w:p w14:paraId="3E58D88D" w14:textId="77777777" w:rsidR="00CB622E" w:rsidRPr="00CB622E" w:rsidRDefault="00CB622E" w:rsidP="00CB622E">
      <w:pPr>
        <w:pStyle w:val="AnzjesFootnote"/>
        <w:rPr>
          <w:lang w:val="en-US"/>
        </w:rPr>
      </w:pPr>
      <w:r>
        <w:rPr>
          <w:rStyle w:val="FootnoteReference"/>
        </w:rPr>
        <w:footnoteRef/>
      </w:r>
      <w:r>
        <w:t xml:space="preserve"> </w:t>
      </w:r>
      <w:r>
        <w:rPr>
          <w:lang w:val="en-US"/>
        </w:rPr>
        <w:t xml:space="preserve">This is an example of a footnote. </w:t>
      </w:r>
      <w:r w:rsidRPr="00F47536">
        <w:rPr>
          <w:color w:val="FF0000"/>
          <w:lang w:val="en-US"/>
        </w:rPr>
        <w:t>(Style: Anzjes_Footnote)</w:t>
      </w:r>
    </w:p>
  </w:footnote>
  <w:footnote w:id="2">
    <w:p w14:paraId="71786F03" w14:textId="77777777" w:rsidR="00F47536" w:rsidRPr="00F47536" w:rsidRDefault="00F47536" w:rsidP="00F47536">
      <w:pPr>
        <w:pStyle w:val="AnzjesFootnote"/>
        <w:rPr>
          <w:lang w:val="en-US"/>
        </w:rPr>
      </w:pPr>
      <w:r>
        <w:rPr>
          <w:rStyle w:val="FootnoteReference"/>
        </w:rPr>
        <w:footnoteRef/>
      </w:r>
      <w:r>
        <w:t xml:space="preserve"> </w:t>
      </w:r>
      <w:r>
        <w:rPr>
          <w:lang w:val="en-US"/>
        </w:rPr>
        <w:t>This is the second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E62A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CE73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46CE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762F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FC8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98C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F6E4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821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4042D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13D4329E"/>
    <w:lvl w:ilvl="0">
      <w:numFmt w:val="decimal"/>
      <w:pStyle w:val="CONFBullets"/>
      <w:lvlText w:val="*"/>
      <w:lvlJc w:val="left"/>
    </w:lvl>
  </w:abstractNum>
  <w:abstractNum w:abstractNumId="10" w15:restartNumberingAfterBreak="0">
    <w:nsid w:val="00000002"/>
    <w:multiLevelType w:val="singleLevel"/>
    <w:tmpl w:val="00000000"/>
    <w:lvl w:ilvl="0">
      <w:start w:val="1"/>
      <w:numFmt w:val="decimal"/>
      <w:lvlText w:val="%1."/>
      <w:legacy w:legacy="1" w:legacySpace="0" w:legacyIndent="369"/>
      <w:lvlJc w:val="left"/>
      <w:pPr>
        <w:ind w:left="738" w:hanging="369"/>
      </w:pPr>
    </w:lvl>
  </w:abstractNum>
  <w:abstractNum w:abstractNumId="11" w15:restartNumberingAfterBreak="0">
    <w:nsid w:val="00000006"/>
    <w:multiLevelType w:val="singleLevel"/>
    <w:tmpl w:val="00000000"/>
    <w:lvl w:ilvl="0">
      <w:start w:val="1"/>
      <w:numFmt w:val="decimal"/>
      <w:lvlText w:val="%1."/>
      <w:legacy w:legacy="1" w:legacySpace="0" w:legacyIndent="369"/>
      <w:lvlJc w:val="left"/>
      <w:pPr>
        <w:ind w:left="738" w:hanging="369"/>
      </w:pPr>
    </w:lvl>
  </w:abstractNum>
  <w:abstractNum w:abstractNumId="12" w15:restartNumberingAfterBreak="0">
    <w:nsid w:val="1B177E43"/>
    <w:multiLevelType w:val="multilevel"/>
    <w:tmpl w:val="2C5C3B40"/>
    <w:lvl w:ilvl="0">
      <w:start w:val="1"/>
      <w:numFmt w:val="lowerLetter"/>
      <w:pStyle w:val="AnzjesListNumIndent"/>
      <w:lvlText w:val="%1."/>
      <w:lvlJc w:val="left"/>
      <w:pPr>
        <w:ind w:left="1074" w:hanging="360"/>
      </w:pPr>
      <w:rPr>
        <w:rFonts w:hint="default"/>
        <w:b w:val="0"/>
      </w:rPr>
    </w:lvl>
    <w:lvl w:ilvl="1">
      <w:start w:val="1"/>
      <w:numFmt w:val="lowerLetter"/>
      <w:lvlText w:val="%2."/>
      <w:lvlJc w:val="left"/>
      <w:pPr>
        <w:ind w:left="1422" w:hanging="346"/>
      </w:pPr>
      <w:rPr>
        <w:rFonts w:hint="default"/>
      </w:rPr>
    </w:lvl>
    <w:lvl w:ilvl="2">
      <w:start w:val="1"/>
      <w:numFmt w:val="lowerRoman"/>
      <w:lvlText w:val="%3."/>
      <w:lvlJc w:val="right"/>
      <w:pPr>
        <w:ind w:left="2514" w:hanging="180"/>
      </w:pPr>
      <w:rPr>
        <w:rFonts w:hint="default"/>
      </w:rPr>
    </w:lvl>
    <w:lvl w:ilvl="3">
      <w:start w:val="1"/>
      <w:numFmt w:val="decimal"/>
      <w:lvlText w:val="%4."/>
      <w:lvlJc w:val="left"/>
      <w:pPr>
        <w:ind w:left="3234" w:hanging="360"/>
      </w:pPr>
      <w:rPr>
        <w:rFonts w:hint="default"/>
      </w:rPr>
    </w:lvl>
    <w:lvl w:ilvl="4">
      <w:start w:val="1"/>
      <w:numFmt w:val="lowerLetter"/>
      <w:lvlText w:val="%5."/>
      <w:lvlJc w:val="left"/>
      <w:pPr>
        <w:ind w:left="3954" w:hanging="360"/>
      </w:pPr>
      <w:rPr>
        <w:rFonts w:hint="default"/>
      </w:rPr>
    </w:lvl>
    <w:lvl w:ilvl="5">
      <w:start w:val="1"/>
      <w:numFmt w:val="lowerRoman"/>
      <w:lvlText w:val="%6."/>
      <w:lvlJc w:val="right"/>
      <w:pPr>
        <w:ind w:left="4674" w:hanging="180"/>
      </w:pPr>
      <w:rPr>
        <w:rFonts w:hint="default"/>
      </w:rPr>
    </w:lvl>
    <w:lvl w:ilvl="6">
      <w:start w:val="1"/>
      <w:numFmt w:val="decimal"/>
      <w:lvlText w:val="%7."/>
      <w:lvlJc w:val="left"/>
      <w:pPr>
        <w:ind w:left="5394" w:hanging="360"/>
      </w:pPr>
      <w:rPr>
        <w:rFonts w:hint="default"/>
      </w:rPr>
    </w:lvl>
    <w:lvl w:ilvl="7">
      <w:start w:val="1"/>
      <w:numFmt w:val="lowerLetter"/>
      <w:lvlText w:val="%8."/>
      <w:lvlJc w:val="left"/>
      <w:pPr>
        <w:ind w:left="6114" w:hanging="360"/>
      </w:pPr>
      <w:rPr>
        <w:rFonts w:hint="default"/>
      </w:rPr>
    </w:lvl>
    <w:lvl w:ilvl="8">
      <w:start w:val="1"/>
      <w:numFmt w:val="lowerRoman"/>
      <w:lvlText w:val="%9."/>
      <w:lvlJc w:val="right"/>
      <w:pPr>
        <w:ind w:left="6834" w:hanging="180"/>
      </w:pPr>
      <w:rPr>
        <w:rFonts w:hint="default"/>
      </w:rPr>
    </w:lvl>
  </w:abstractNum>
  <w:abstractNum w:abstractNumId="13" w15:restartNumberingAfterBreak="0">
    <w:nsid w:val="1CC74828"/>
    <w:multiLevelType w:val="hybridMultilevel"/>
    <w:tmpl w:val="4E1AB8FA"/>
    <w:lvl w:ilvl="0" w:tplc="F2E023B8">
      <w:start w:val="1"/>
      <w:numFmt w:val="bullet"/>
      <w:pStyle w:val="Anzjes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E37723"/>
    <w:multiLevelType w:val="hybridMultilevel"/>
    <w:tmpl w:val="B84E30AE"/>
    <w:lvl w:ilvl="0" w:tplc="6AA00D2A">
      <w:start w:val="1"/>
      <w:numFmt w:val="decimal"/>
      <w:lvlText w:val="Figure %1."/>
      <w:lvlJc w:val="left"/>
      <w:pPr>
        <w:ind w:left="720" w:hanging="360"/>
      </w:pPr>
      <w:rPr>
        <w:rFonts w:ascii="Times New Roman" w:hAnsi="Times New Roman" w:cs="Times New Roman" w:hint="default"/>
        <w:b w:val="0"/>
        <w:bCs w:val="0"/>
        <w:i w:val="0"/>
        <w:iCs w:val="0"/>
        <w:caps w:val="0"/>
        <w:strike w:val="0"/>
        <w:dstrike w:val="0"/>
        <w:vanish w:val="0"/>
        <w:color w:val="000000"/>
        <w:spacing w:val="0"/>
        <w:kern w:val="18"/>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304D3"/>
    <w:multiLevelType w:val="multilevel"/>
    <w:tmpl w:val="614C2A52"/>
    <w:lvl w:ilvl="0">
      <w:start w:val="1"/>
      <w:numFmt w:val="decimal"/>
      <w:pStyle w:val="CONFNumbers"/>
      <w:lvlText w:val="%1."/>
      <w:lvlJc w:val="left"/>
      <w:pPr>
        <w:ind w:left="729" w:hanging="360"/>
      </w:pPr>
      <w:rPr>
        <w:rFonts w:hint="default"/>
        <w:b w:val="0"/>
      </w:rPr>
    </w:lvl>
    <w:lvl w:ilvl="1">
      <w:start w:val="1"/>
      <w:numFmt w:val="lowerLetter"/>
      <w:pStyle w:val="CONFNumbersIndent"/>
      <w:lvlText w:val="%2."/>
      <w:lvlJc w:val="left"/>
      <w:pPr>
        <w:ind w:left="1077" w:hanging="346"/>
      </w:pPr>
      <w:rPr>
        <w:rFonts w:hint="default"/>
      </w:rPr>
    </w:lvl>
    <w:lvl w:ilvl="2">
      <w:start w:val="1"/>
      <w:numFmt w:val="lowerRoman"/>
      <w:lvlText w:val="%3."/>
      <w:lvlJc w:val="right"/>
      <w:pPr>
        <w:ind w:left="2169" w:hanging="180"/>
      </w:pPr>
      <w:rPr>
        <w:rFonts w:hint="default"/>
      </w:rPr>
    </w:lvl>
    <w:lvl w:ilvl="3">
      <w:start w:val="1"/>
      <w:numFmt w:val="decimal"/>
      <w:lvlText w:val="%4."/>
      <w:lvlJc w:val="left"/>
      <w:pPr>
        <w:ind w:left="2889" w:hanging="360"/>
      </w:pPr>
      <w:rPr>
        <w:rFonts w:hint="default"/>
      </w:rPr>
    </w:lvl>
    <w:lvl w:ilvl="4">
      <w:start w:val="1"/>
      <w:numFmt w:val="lowerLetter"/>
      <w:lvlText w:val="%5."/>
      <w:lvlJc w:val="left"/>
      <w:pPr>
        <w:ind w:left="3609" w:hanging="360"/>
      </w:pPr>
      <w:rPr>
        <w:rFonts w:hint="default"/>
      </w:rPr>
    </w:lvl>
    <w:lvl w:ilvl="5">
      <w:start w:val="1"/>
      <w:numFmt w:val="lowerRoman"/>
      <w:lvlText w:val="%6."/>
      <w:lvlJc w:val="right"/>
      <w:pPr>
        <w:ind w:left="4329" w:hanging="180"/>
      </w:pPr>
      <w:rPr>
        <w:rFonts w:hint="default"/>
      </w:rPr>
    </w:lvl>
    <w:lvl w:ilvl="6">
      <w:start w:val="1"/>
      <w:numFmt w:val="decimal"/>
      <w:lvlText w:val="%7."/>
      <w:lvlJc w:val="left"/>
      <w:pPr>
        <w:ind w:left="5049" w:hanging="360"/>
      </w:pPr>
      <w:rPr>
        <w:rFonts w:hint="default"/>
      </w:rPr>
    </w:lvl>
    <w:lvl w:ilvl="7">
      <w:start w:val="1"/>
      <w:numFmt w:val="lowerLetter"/>
      <w:lvlText w:val="%8."/>
      <w:lvlJc w:val="left"/>
      <w:pPr>
        <w:ind w:left="5769" w:hanging="360"/>
      </w:pPr>
      <w:rPr>
        <w:rFonts w:hint="default"/>
      </w:rPr>
    </w:lvl>
    <w:lvl w:ilvl="8">
      <w:start w:val="1"/>
      <w:numFmt w:val="lowerRoman"/>
      <w:lvlText w:val="%9."/>
      <w:lvlJc w:val="right"/>
      <w:pPr>
        <w:ind w:left="6489" w:hanging="180"/>
      </w:pPr>
      <w:rPr>
        <w:rFonts w:hint="default"/>
      </w:rPr>
    </w:lvl>
  </w:abstractNum>
  <w:abstractNum w:abstractNumId="16" w15:restartNumberingAfterBreak="0">
    <w:nsid w:val="32C73356"/>
    <w:multiLevelType w:val="hybridMultilevel"/>
    <w:tmpl w:val="5EFC6AF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083252"/>
    <w:multiLevelType w:val="hybridMultilevel"/>
    <w:tmpl w:val="10FAA6F0"/>
    <w:lvl w:ilvl="0" w:tplc="C5361BDE">
      <w:start w:val="1"/>
      <w:numFmt w:val="lowerLetter"/>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EC5347"/>
    <w:multiLevelType w:val="hybridMultilevel"/>
    <w:tmpl w:val="11B80418"/>
    <w:lvl w:ilvl="0" w:tplc="475A9EB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D147F9"/>
    <w:multiLevelType w:val="hybridMultilevel"/>
    <w:tmpl w:val="AC4A066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044"/>
    <w:multiLevelType w:val="hybridMultilevel"/>
    <w:tmpl w:val="BE0C48AC"/>
    <w:lvl w:ilvl="0" w:tplc="8FCC1B32">
      <w:start w:val="1"/>
      <w:numFmt w:val="decimal"/>
      <w:lvlText w:val="%1."/>
      <w:lvlJc w:val="left"/>
      <w:pPr>
        <w:ind w:left="729" w:hanging="360"/>
      </w:pPr>
      <w:rPr>
        <w:rFonts w:hint="default"/>
      </w:rPr>
    </w:lvl>
    <w:lvl w:ilvl="1" w:tplc="0C090019" w:tentative="1">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22" w15:restartNumberingAfterBreak="0">
    <w:nsid w:val="4D3819A7"/>
    <w:multiLevelType w:val="hybridMultilevel"/>
    <w:tmpl w:val="D62C095A"/>
    <w:lvl w:ilvl="0" w:tplc="6BD4FB4A">
      <w:start w:val="1"/>
      <w:numFmt w:val="decimal"/>
      <w:pStyle w:val="AnzjesListNum"/>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E5788"/>
    <w:multiLevelType w:val="hybridMultilevel"/>
    <w:tmpl w:val="A252B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D32DA8"/>
    <w:multiLevelType w:val="singleLevel"/>
    <w:tmpl w:val="3A80B1D6"/>
    <w:lvl w:ilvl="0">
      <w:start w:val="1"/>
      <w:numFmt w:val="decimal"/>
      <w:lvlText w:val="Table %1."/>
      <w:lvlJc w:val="left"/>
      <w:pPr>
        <w:ind w:left="0" w:firstLine="0"/>
      </w:pPr>
      <w:rPr>
        <w:rFonts w:ascii="Times New Roman" w:hAnsi="Times New Roman" w:cs="Times New Roman" w:hint="default"/>
        <w:b w:val="0"/>
        <w:bCs w:val="0"/>
        <w:i w:val="0"/>
        <w:iCs w:val="0"/>
        <w:caps w:val="0"/>
        <w:strike w:val="0"/>
        <w:dstrike w:val="0"/>
        <w:vanish w:val="0"/>
        <w:color w:val="000000"/>
        <w:spacing w:val="0"/>
        <w:kern w:val="18"/>
        <w:sz w:val="18"/>
        <w:szCs w:val="16"/>
        <w:vertAlign w:val="baseline"/>
      </w:rPr>
    </w:lvl>
  </w:abstractNum>
  <w:abstractNum w:abstractNumId="25" w15:restartNumberingAfterBreak="0">
    <w:nsid w:val="6CDB6C2E"/>
    <w:multiLevelType w:val="hybridMultilevel"/>
    <w:tmpl w:val="20501B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E21DD1"/>
    <w:multiLevelType w:val="hybridMultilevel"/>
    <w:tmpl w:val="EC96CE44"/>
    <w:lvl w:ilvl="0" w:tplc="8550D7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A37060"/>
    <w:multiLevelType w:val="hybridMultilevel"/>
    <w:tmpl w:val="47C26FD4"/>
    <w:lvl w:ilvl="0" w:tplc="B54E1746">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5457431">
    <w:abstractNumId w:val="24"/>
  </w:num>
  <w:num w:numId="2" w16cid:durableId="1319306346">
    <w:abstractNumId w:val="26"/>
  </w:num>
  <w:num w:numId="3" w16cid:durableId="772094709">
    <w:abstractNumId w:val="14"/>
  </w:num>
  <w:num w:numId="4" w16cid:durableId="1030911934">
    <w:abstractNumId w:val="27"/>
  </w:num>
  <w:num w:numId="5" w16cid:durableId="1553732083">
    <w:abstractNumId w:val="22"/>
  </w:num>
  <w:num w:numId="6" w16cid:durableId="1116212249">
    <w:abstractNumId w:val="17"/>
  </w:num>
  <w:num w:numId="7" w16cid:durableId="1142967967">
    <w:abstractNumId w:val="20"/>
  </w:num>
  <w:num w:numId="8" w16cid:durableId="81610520">
    <w:abstractNumId w:val="25"/>
  </w:num>
  <w:num w:numId="9" w16cid:durableId="1106341743">
    <w:abstractNumId w:val="16"/>
  </w:num>
  <w:num w:numId="10" w16cid:durableId="405037388">
    <w:abstractNumId w:val="19"/>
  </w:num>
  <w:num w:numId="11" w16cid:durableId="325716192">
    <w:abstractNumId w:val="13"/>
  </w:num>
  <w:num w:numId="12" w16cid:durableId="1739328113">
    <w:abstractNumId w:val="23"/>
  </w:num>
  <w:num w:numId="13" w16cid:durableId="592317987">
    <w:abstractNumId w:val="22"/>
  </w:num>
  <w:num w:numId="14" w16cid:durableId="1104497949">
    <w:abstractNumId w:val="18"/>
  </w:num>
  <w:num w:numId="15" w16cid:durableId="1792284023">
    <w:abstractNumId w:val="10"/>
  </w:num>
  <w:num w:numId="16" w16cid:durableId="1012606149">
    <w:abstractNumId w:val="11"/>
  </w:num>
  <w:num w:numId="17" w16cid:durableId="241529855">
    <w:abstractNumId w:val="21"/>
  </w:num>
  <w:num w:numId="18" w16cid:durableId="1950165933">
    <w:abstractNumId w:val="15"/>
  </w:num>
  <w:num w:numId="19" w16cid:durableId="570309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228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067284">
    <w:abstractNumId w:val="12"/>
  </w:num>
  <w:num w:numId="22" w16cid:durableId="451829840">
    <w:abstractNumId w:val="22"/>
    <w:lvlOverride w:ilvl="0">
      <w:startOverride w:val="1"/>
    </w:lvlOverride>
  </w:num>
  <w:num w:numId="23" w16cid:durableId="584923975">
    <w:abstractNumId w:val="22"/>
    <w:lvlOverride w:ilvl="0">
      <w:startOverride w:val="1"/>
    </w:lvlOverride>
  </w:num>
  <w:num w:numId="24" w16cid:durableId="1435053200">
    <w:abstractNumId w:val="22"/>
    <w:lvlOverride w:ilvl="0">
      <w:startOverride w:val="1"/>
    </w:lvlOverride>
  </w:num>
  <w:num w:numId="25" w16cid:durableId="1411538315">
    <w:abstractNumId w:val="22"/>
    <w:lvlOverride w:ilvl="0">
      <w:startOverride w:val="1"/>
    </w:lvlOverride>
  </w:num>
  <w:num w:numId="26" w16cid:durableId="308871583">
    <w:abstractNumId w:val="22"/>
    <w:lvlOverride w:ilvl="0">
      <w:startOverride w:val="1"/>
    </w:lvlOverride>
  </w:num>
  <w:num w:numId="27" w16cid:durableId="368192302">
    <w:abstractNumId w:val="22"/>
    <w:lvlOverride w:ilvl="0">
      <w:startOverride w:val="1"/>
    </w:lvlOverride>
  </w:num>
  <w:num w:numId="28" w16cid:durableId="6949060">
    <w:abstractNumId w:val="8"/>
  </w:num>
  <w:num w:numId="29" w16cid:durableId="358513388">
    <w:abstractNumId w:val="7"/>
  </w:num>
  <w:num w:numId="30" w16cid:durableId="439298718">
    <w:abstractNumId w:val="6"/>
  </w:num>
  <w:num w:numId="31" w16cid:durableId="1327321096">
    <w:abstractNumId w:val="5"/>
  </w:num>
  <w:num w:numId="32" w16cid:durableId="447773487">
    <w:abstractNumId w:val="4"/>
  </w:num>
  <w:num w:numId="33" w16cid:durableId="1483885678">
    <w:abstractNumId w:val="3"/>
  </w:num>
  <w:num w:numId="34" w16cid:durableId="970399254">
    <w:abstractNumId w:val="2"/>
  </w:num>
  <w:num w:numId="35" w16cid:durableId="1224290509">
    <w:abstractNumId w:val="1"/>
  </w:num>
  <w:num w:numId="36" w16cid:durableId="2072846283">
    <w:abstractNumId w:val="0"/>
  </w:num>
  <w:num w:numId="37" w16cid:durableId="1101536746">
    <w:abstractNumId w:val="22"/>
    <w:lvlOverride w:ilvl="0">
      <w:startOverride w:val="1"/>
    </w:lvlOverride>
  </w:num>
  <w:num w:numId="38" w16cid:durableId="201596018">
    <w:abstractNumId w:val="9"/>
    <w:lvlOverride w:ilvl="0">
      <w:lvl w:ilvl="0">
        <w:start w:val="1"/>
        <w:numFmt w:val="bullet"/>
        <w:pStyle w:val="CONFBullets"/>
        <w:lvlText w:val=""/>
        <w:legacy w:legacy="1" w:legacySpace="0" w:legacyIndent="369"/>
        <w:lvlJc w:val="left"/>
        <w:pPr>
          <w:ind w:left="738" w:hanging="369"/>
        </w:pPr>
        <w:rPr>
          <w:rFonts w:ascii="Symbol" w:eastAsia="Times New Roman" w:hAnsi="Symbol" w:hint="default"/>
        </w:rPr>
      </w:lvl>
    </w:lvlOverride>
  </w:num>
  <w:num w:numId="39" w16cid:durableId="1384477785">
    <w:abstractNumId w:val="9"/>
    <w:lvlOverride w:ilvl="0">
      <w:lvl w:ilvl="0">
        <w:numFmt w:val="bullet"/>
        <w:pStyle w:val="CONFBullets"/>
        <w:lvlText w:val=""/>
        <w:legacy w:legacy="1" w:legacySpace="0" w:legacyIndent="369"/>
        <w:lvlJc w:val="left"/>
        <w:pPr>
          <w:ind w:left="738" w:hanging="369"/>
        </w:pPr>
        <w:rPr>
          <w:rFonts w:ascii="Symbol" w:eastAsia="Times New Roman" w:hAnsi="Symbol" w:hint="default"/>
        </w:rPr>
      </w:lvl>
    </w:lvlOverride>
  </w:num>
  <w:num w:numId="40" w16cid:durableId="1191727325">
    <w:abstractNumId w:val="9"/>
    <w:lvlOverride w:ilvl="0">
      <w:lvl w:ilvl="0">
        <w:numFmt w:val="bullet"/>
        <w:pStyle w:val="CONFBullets"/>
        <w:lvlText w:val=""/>
        <w:legacy w:legacy="1" w:legacySpace="0" w:legacyIndent="369"/>
        <w:lvlJc w:val="left"/>
        <w:pPr>
          <w:ind w:left="738" w:hanging="369"/>
        </w:pPr>
        <w:rPr>
          <w:rFonts w:ascii="Symbol" w:eastAsia="Times New Roman" w:hAnsi="Symbol" w:hint="default"/>
        </w:rPr>
      </w:lvl>
    </w:lvlOverride>
  </w:num>
  <w:num w:numId="41" w16cid:durableId="286015397">
    <w:abstractNumId w:val="9"/>
    <w:lvlOverride w:ilvl="0">
      <w:lvl w:ilvl="0">
        <w:numFmt w:val="bullet"/>
        <w:pStyle w:val="CONFBullets"/>
        <w:lvlText w:val=""/>
        <w:legacy w:legacy="1" w:legacySpace="0" w:legacyIndent="369"/>
        <w:lvlJc w:val="left"/>
        <w:pPr>
          <w:ind w:left="738" w:hanging="369"/>
        </w:pPr>
        <w:rPr>
          <w:rFonts w:ascii="Symbol" w:eastAsia="Times New Roman" w:hAnsi="Symbol" w:hint="default"/>
        </w:rPr>
      </w:lvl>
    </w:lvlOverride>
  </w:num>
  <w:num w:numId="42" w16cid:durableId="479032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NZ" w:vendorID="64" w:dllVersion="6" w:nlCheck="1" w:checkStyle="1"/>
  <w:activeWritingStyle w:appName="MSWord" w:lang="fr-FR"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fr-FR" w:vendorID="64" w:dllVersion="0" w:nlCheck="1" w:checkStyle="0"/>
  <w:activeWritingStyle w:appName="MSWord" w:lang="en-NZ" w:vendorID="64" w:dllVersion="0" w:nlCheck="1" w:checkStyle="0"/>
  <w:activeWritingStyle w:appName="MSWord" w:lang="en-CA" w:vendorID="64" w:dllVersion="0" w:nlCheck="1" w:checkStyle="0"/>
  <w:activeWritingStyle w:appName="MSWord" w:lang="es-MX" w:vendorID="64" w:dllVersion="0" w:nlCheck="1" w:checkStyle="0"/>
  <w:activeWritingStyle w:appName="MSWord" w:lang="en-IN" w:vendorID="64" w:dllVersion="0" w:nlCheck="1" w:checkStyle="0"/>
  <w:activeWritingStyle w:appName="MSWord" w:lang="es-MX" w:vendorID="64" w:dllVersion="6" w:nlCheck="1" w:checkStyle="1"/>
  <w:activeWritingStyle w:appName="MSWord" w:lang="en-IN" w:vendorID="64" w:dllVersion="6" w:nlCheck="1" w:checkStyle="1"/>
  <w:activeWritingStyle w:appName="MSWord" w:lang="es-419" w:vendorID="64" w:dllVersion="0" w:nlCheck="1" w:checkStyle="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9B"/>
    <w:rsid w:val="000016E9"/>
    <w:rsid w:val="0000268E"/>
    <w:rsid w:val="000040E5"/>
    <w:rsid w:val="000051B8"/>
    <w:rsid w:val="000057D7"/>
    <w:rsid w:val="000064D1"/>
    <w:rsid w:val="00007153"/>
    <w:rsid w:val="000079BF"/>
    <w:rsid w:val="00007E2F"/>
    <w:rsid w:val="00010747"/>
    <w:rsid w:val="00010849"/>
    <w:rsid w:val="00010C09"/>
    <w:rsid w:val="00011E02"/>
    <w:rsid w:val="000120C4"/>
    <w:rsid w:val="0001498A"/>
    <w:rsid w:val="00014BB5"/>
    <w:rsid w:val="00014FFB"/>
    <w:rsid w:val="000151F2"/>
    <w:rsid w:val="0001531B"/>
    <w:rsid w:val="000172DE"/>
    <w:rsid w:val="00017D4E"/>
    <w:rsid w:val="00017E01"/>
    <w:rsid w:val="00020FF1"/>
    <w:rsid w:val="00022395"/>
    <w:rsid w:val="0002365E"/>
    <w:rsid w:val="00024812"/>
    <w:rsid w:val="00025B5D"/>
    <w:rsid w:val="0002674D"/>
    <w:rsid w:val="00027061"/>
    <w:rsid w:val="00032691"/>
    <w:rsid w:val="00033B63"/>
    <w:rsid w:val="00034737"/>
    <w:rsid w:val="0003570D"/>
    <w:rsid w:val="00035E04"/>
    <w:rsid w:val="000360E0"/>
    <w:rsid w:val="0003708E"/>
    <w:rsid w:val="000374D9"/>
    <w:rsid w:val="00041C35"/>
    <w:rsid w:val="000421EF"/>
    <w:rsid w:val="0004394B"/>
    <w:rsid w:val="00044287"/>
    <w:rsid w:val="00044D99"/>
    <w:rsid w:val="00044FD8"/>
    <w:rsid w:val="00045E14"/>
    <w:rsid w:val="0004622C"/>
    <w:rsid w:val="00047197"/>
    <w:rsid w:val="00047BF8"/>
    <w:rsid w:val="000517E4"/>
    <w:rsid w:val="00051C00"/>
    <w:rsid w:val="000526FB"/>
    <w:rsid w:val="0005348A"/>
    <w:rsid w:val="000537A3"/>
    <w:rsid w:val="00053D11"/>
    <w:rsid w:val="00056762"/>
    <w:rsid w:val="00060285"/>
    <w:rsid w:val="000608F4"/>
    <w:rsid w:val="00063878"/>
    <w:rsid w:val="00065DC7"/>
    <w:rsid w:val="00065E72"/>
    <w:rsid w:val="000661B2"/>
    <w:rsid w:val="00072A04"/>
    <w:rsid w:val="00073830"/>
    <w:rsid w:val="00073873"/>
    <w:rsid w:val="00073BA8"/>
    <w:rsid w:val="00074E5F"/>
    <w:rsid w:val="00075451"/>
    <w:rsid w:val="00075E1F"/>
    <w:rsid w:val="00076406"/>
    <w:rsid w:val="00076BEA"/>
    <w:rsid w:val="00081358"/>
    <w:rsid w:val="00081410"/>
    <w:rsid w:val="00082832"/>
    <w:rsid w:val="0008287F"/>
    <w:rsid w:val="00082A4D"/>
    <w:rsid w:val="00082EF8"/>
    <w:rsid w:val="000837F2"/>
    <w:rsid w:val="00085E5C"/>
    <w:rsid w:val="000873CD"/>
    <w:rsid w:val="0009064A"/>
    <w:rsid w:val="00091CD7"/>
    <w:rsid w:val="000925B1"/>
    <w:rsid w:val="0009279B"/>
    <w:rsid w:val="00094F5C"/>
    <w:rsid w:val="0009653E"/>
    <w:rsid w:val="000975A1"/>
    <w:rsid w:val="000A086D"/>
    <w:rsid w:val="000A1AFB"/>
    <w:rsid w:val="000A1F6D"/>
    <w:rsid w:val="000A368F"/>
    <w:rsid w:val="000A7917"/>
    <w:rsid w:val="000A7AC7"/>
    <w:rsid w:val="000A7BF6"/>
    <w:rsid w:val="000A7D1E"/>
    <w:rsid w:val="000B0FBB"/>
    <w:rsid w:val="000B1BF5"/>
    <w:rsid w:val="000B223C"/>
    <w:rsid w:val="000B262A"/>
    <w:rsid w:val="000B2DA1"/>
    <w:rsid w:val="000B2F01"/>
    <w:rsid w:val="000B3BAD"/>
    <w:rsid w:val="000B45A0"/>
    <w:rsid w:val="000B48E4"/>
    <w:rsid w:val="000B4B19"/>
    <w:rsid w:val="000B6729"/>
    <w:rsid w:val="000B7014"/>
    <w:rsid w:val="000B71A3"/>
    <w:rsid w:val="000B7723"/>
    <w:rsid w:val="000B7CCF"/>
    <w:rsid w:val="000B7FB0"/>
    <w:rsid w:val="000C374F"/>
    <w:rsid w:val="000C4526"/>
    <w:rsid w:val="000C7CF6"/>
    <w:rsid w:val="000D1063"/>
    <w:rsid w:val="000D1925"/>
    <w:rsid w:val="000D1B80"/>
    <w:rsid w:val="000D3424"/>
    <w:rsid w:val="000D3B13"/>
    <w:rsid w:val="000D4C31"/>
    <w:rsid w:val="000D4C4D"/>
    <w:rsid w:val="000D4D1C"/>
    <w:rsid w:val="000D5B11"/>
    <w:rsid w:val="000D5E01"/>
    <w:rsid w:val="000D5EB9"/>
    <w:rsid w:val="000D7847"/>
    <w:rsid w:val="000E0AB8"/>
    <w:rsid w:val="000E4539"/>
    <w:rsid w:val="000E6A62"/>
    <w:rsid w:val="000F0135"/>
    <w:rsid w:val="000F03A1"/>
    <w:rsid w:val="000F091E"/>
    <w:rsid w:val="000F1A1B"/>
    <w:rsid w:val="000F272D"/>
    <w:rsid w:val="000F4FA7"/>
    <w:rsid w:val="000F707D"/>
    <w:rsid w:val="001002D3"/>
    <w:rsid w:val="00100A45"/>
    <w:rsid w:val="00101C33"/>
    <w:rsid w:val="00102985"/>
    <w:rsid w:val="0010378F"/>
    <w:rsid w:val="001039CA"/>
    <w:rsid w:val="00104587"/>
    <w:rsid w:val="00107414"/>
    <w:rsid w:val="001111D8"/>
    <w:rsid w:val="00111458"/>
    <w:rsid w:val="00111D81"/>
    <w:rsid w:val="00111F9D"/>
    <w:rsid w:val="00113DC7"/>
    <w:rsid w:val="00116282"/>
    <w:rsid w:val="00116EEB"/>
    <w:rsid w:val="0011723E"/>
    <w:rsid w:val="001205ED"/>
    <w:rsid w:val="00120633"/>
    <w:rsid w:val="00120810"/>
    <w:rsid w:val="001208A3"/>
    <w:rsid w:val="00122948"/>
    <w:rsid w:val="001251D5"/>
    <w:rsid w:val="001254A8"/>
    <w:rsid w:val="00126933"/>
    <w:rsid w:val="00127646"/>
    <w:rsid w:val="001304E6"/>
    <w:rsid w:val="001318CA"/>
    <w:rsid w:val="00132B00"/>
    <w:rsid w:val="0013425F"/>
    <w:rsid w:val="001345AC"/>
    <w:rsid w:val="00134E29"/>
    <w:rsid w:val="00134F07"/>
    <w:rsid w:val="00135904"/>
    <w:rsid w:val="0013641A"/>
    <w:rsid w:val="001401CF"/>
    <w:rsid w:val="00140D75"/>
    <w:rsid w:val="00140F1A"/>
    <w:rsid w:val="00141138"/>
    <w:rsid w:val="00141916"/>
    <w:rsid w:val="00142257"/>
    <w:rsid w:val="00142AE8"/>
    <w:rsid w:val="00143427"/>
    <w:rsid w:val="00143C28"/>
    <w:rsid w:val="00145647"/>
    <w:rsid w:val="001466CF"/>
    <w:rsid w:val="00147467"/>
    <w:rsid w:val="001474D3"/>
    <w:rsid w:val="001479A6"/>
    <w:rsid w:val="00147BFC"/>
    <w:rsid w:val="0015047F"/>
    <w:rsid w:val="00150B93"/>
    <w:rsid w:val="00150BAD"/>
    <w:rsid w:val="00150E94"/>
    <w:rsid w:val="0015233C"/>
    <w:rsid w:val="00152562"/>
    <w:rsid w:val="00152827"/>
    <w:rsid w:val="00153515"/>
    <w:rsid w:val="0015626A"/>
    <w:rsid w:val="00156478"/>
    <w:rsid w:val="00157C90"/>
    <w:rsid w:val="0016030F"/>
    <w:rsid w:val="001612DD"/>
    <w:rsid w:val="00163E05"/>
    <w:rsid w:val="0016505F"/>
    <w:rsid w:val="0016595A"/>
    <w:rsid w:val="00165F10"/>
    <w:rsid w:val="001703CC"/>
    <w:rsid w:val="0017115C"/>
    <w:rsid w:val="00171544"/>
    <w:rsid w:val="001729A6"/>
    <w:rsid w:val="001743D2"/>
    <w:rsid w:val="00174497"/>
    <w:rsid w:val="00174D03"/>
    <w:rsid w:val="001754C3"/>
    <w:rsid w:val="00175FDD"/>
    <w:rsid w:val="00176B7D"/>
    <w:rsid w:val="00177191"/>
    <w:rsid w:val="00177CDF"/>
    <w:rsid w:val="00177E30"/>
    <w:rsid w:val="00181533"/>
    <w:rsid w:val="001816C0"/>
    <w:rsid w:val="00182236"/>
    <w:rsid w:val="0018261B"/>
    <w:rsid w:val="0018273C"/>
    <w:rsid w:val="00182D46"/>
    <w:rsid w:val="00182FD8"/>
    <w:rsid w:val="001833C4"/>
    <w:rsid w:val="00183958"/>
    <w:rsid w:val="00183E8E"/>
    <w:rsid w:val="00184386"/>
    <w:rsid w:val="001865E3"/>
    <w:rsid w:val="00187BBF"/>
    <w:rsid w:val="00190546"/>
    <w:rsid w:val="0019096F"/>
    <w:rsid w:val="0019173E"/>
    <w:rsid w:val="00191CAF"/>
    <w:rsid w:val="001920A1"/>
    <w:rsid w:val="0019297D"/>
    <w:rsid w:val="00192B78"/>
    <w:rsid w:val="00192E83"/>
    <w:rsid w:val="00193400"/>
    <w:rsid w:val="00193EA5"/>
    <w:rsid w:val="00193FC7"/>
    <w:rsid w:val="0019435B"/>
    <w:rsid w:val="00194DDC"/>
    <w:rsid w:val="00194EE4"/>
    <w:rsid w:val="001952E3"/>
    <w:rsid w:val="00195387"/>
    <w:rsid w:val="001967D3"/>
    <w:rsid w:val="001A084C"/>
    <w:rsid w:val="001A0AF8"/>
    <w:rsid w:val="001A1641"/>
    <w:rsid w:val="001A20A9"/>
    <w:rsid w:val="001A2F05"/>
    <w:rsid w:val="001A30BA"/>
    <w:rsid w:val="001A34C5"/>
    <w:rsid w:val="001A73DA"/>
    <w:rsid w:val="001B14A2"/>
    <w:rsid w:val="001B1FFF"/>
    <w:rsid w:val="001B20CF"/>
    <w:rsid w:val="001B32C4"/>
    <w:rsid w:val="001B3867"/>
    <w:rsid w:val="001B3E42"/>
    <w:rsid w:val="001B6E54"/>
    <w:rsid w:val="001B71C6"/>
    <w:rsid w:val="001C041B"/>
    <w:rsid w:val="001C0851"/>
    <w:rsid w:val="001C0C53"/>
    <w:rsid w:val="001C104D"/>
    <w:rsid w:val="001C1523"/>
    <w:rsid w:val="001C1548"/>
    <w:rsid w:val="001C1F2D"/>
    <w:rsid w:val="001C24F4"/>
    <w:rsid w:val="001C3694"/>
    <w:rsid w:val="001C6D53"/>
    <w:rsid w:val="001D11B4"/>
    <w:rsid w:val="001D23BD"/>
    <w:rsid w:val="001D2EAB"/>
    <w:rsid w:val="001D3DA6"/>
    <w:rsid w:val="001D4717"/>
    <w:rsid w:val="001D5DD0"/>
    <w:rsid w:val="001D5ED4"/>
    <w:rsid w:val="001D74AC"/>
    <w:rsid w:val="001E065D"/>
    <w:rsid w:val="001E14C2"/>
    <w:rsid w:val="001E2747"/>
    <w:rsid w:val="001E3E37"/>
    <w:rsid w:val="001E465B"/>
    <w:rsid w:val="001E4C89"/>
    <w:rsid w:val="001E512E"/>
    <w:rsid w:val="001E58A6"/>
    <w:rsid w:val="001E5F37"/>
    <w:rsid w:val="001E6FFC"/>
    <w:rsid w:val="001F0897"/>
    <w:rsid w:val="001F10A6"/>
    <w:rsid w:val="001F1942"/>
    <w:rsid w:val="001F1CD1"/>
    <w:rsid w:val="001F42CA"/>
    <w:rsid w:val="001F4665"/>
    <w:rsid w:val="001F46DA"/>
    <w:rsid w:val="001F48E9"/>
    <w:rsid w:val="001F4F2E"/>
    <w:rsid w:val="001F5E6A"/>
    <w:rsid w:val="001F608E"/>
    <w:rsid w:val="001F6BD6"/>
    <w:rsid w:val="001F6F1B"/>
    <w:rsid w:val="001F78FE"/>
    <w:rsid w:val="002004D7"/>
    <w:rsid w:val="0020052C"/>
    <w:rsid w:val="00202D65"/>
    <w:rsid w:val="002036A5"/>
    <w:rsid w:val="00204B42"/>
    <w:rsid w:val="002058F0"/>
    <w:rsid w:val="00210607"/>
    <w:rsid w:val="00210F0F"/>
    <w:rsid w:val="00211670"/>
    <w:rsid w:val="00211F71"/>
    <w:rsid w:val="00212E8D"/>
    <w:rsid w:val="00214468"/>
    <w:rsid w:val="002162D7"/>
    <w:rsid w:val="00216BE1"/>
    <w:rsid w:val="002177B5"/>
    <w:rsid w:val="00221606"/>
    <w:rsid w:val="00221B92"/>
    <w:rsid w:val="00224CFC"/>
    <w:rsid w:val="0022501D"/>
    <w:rsid w:val="002251DE"/>
    <w:rsid w:val="0022551C"/>
    <w:rsid w:val="0022561A"/>
    <w:rsid w:val="0022618A"/>
    <w:rsid w:val="00226F07"/>
    <w:rsid w:val="00227565"/>
    <w:rsid w:val="00227BF2"/>
    <w:rsid w:val="002310E2"/>
    <w:rsid w:val="00231F59"/>
    <w:rsid w:val="00232B17"/>
    <w:rsid w:val="00233F95"/>
    <w:rsid w:val="00234D5D"/>
    <w:rsid w:val="00235131"/>
    <w:rsid w:val="00235678"/>
    <w:rsid w:val="00235907"/>
    <w:rsid w:val="00237545"/>
    <w:rsid w:val="0023759A"/>
    <w:rsid w:val="00240B63"/>
    <w:rsid w:val="002418E0"/>
    <w:rsid w:val="00242ED4"/>
    <w:rsid w:val="00243CB4"/>
    <w:rsid w:val="00245D7A"/>
    <w:rsid w:val="00250C42"/>
    <w:rsid w:val="00251AC4"/>
    <w:rsid w:val="00252C3F"/>
    <w:rsid w:val="00253551"/>
    <w:rsid w:val="002538FA"/>
    <w:rsid w:val="00254624"/>
    <w:rsid w:val="002546B4"/>
    <w:rsid w:val="00255AA1"/>
    <w:rsid w:val="002564DD"/>
    <w:rsid w:val="00257F23"/>
    <w:rsid w:val="00260AF1"/>
    <w:rsid w:val="00260FC7"/>
    <w:rsid w:val="0026143C"/>
    <w:rsid w:val="00261A65"/>
    <w:rsid w:val="00263C13"/>
    <w:rsid w:val="002648A9"/>
    <w:rsid w:val="00264F6E"/>
    <w:rsid w:val="002672D0"/>
    <w:rsid w:val="002672E5"/>
    <w:rsid w:val="00267BEB"/>
    <w:rsid w:val="00270A7C"/>
    <w:rsid w:val="00272CE1"/>
    <w:rsid w:val="00274CFD"/>
    <w:rsid w:val="00275F79"/>
    <w:rsid w:val="0027644A"/>
    <w:rsid w:val="002768C0"/>
    <w:rsid w:val="00281665"/>
    <w:rsid w:val="00282F0E"/>
    <w:rsid w:val="00283156"/>
    <w:rsid w:val="00283FBA"/>
    <w:rsid w:val="0028484A"/>
    <w:rsid w:val="00284968"/>
    <w:rsid w:val="00284A6A"/>
    <w:rsid w:val="00285BBF"/>
    <w:rsid w:val="00285FBC"/>
    <w:rsid w:val="00287582"/>
    <w:rsid w:val="0029003C"/>
    <w:rsid w:val="00291C6C"/>
    <w:rsid w:val="002929E2"/>
    <w:rsid w:val="00292AAA"/>
    <w:rsid w:val="00293576"/>
    <w:rsid w:val="00293CFC"/>
    <w:rsid w:val="00293F0F"/>
    <w:rsid w:val="0029542D"/>
    <w:rsid w:val="00295738"/>
    <w:rsid w:val="00295D81"/>
    <w:rsid w:val="0029689B"/>
    <w:rsid w:val="00296FBE"/>
    <w:rsid w:val="002975B0"/>
    <w:rsid w:val="00297F0A"/>
    <w:rsid w:val="002A0307"/>
    <w:rsid w:val="002A3DE9"/>
    <w:rsid w:val="002A42C3"/>
    <w:rsid w:val="002A4834"/>
    <w:rsid w:val="002A4E48"/>
    <w:rsid w:val="002A665A"/>
    <w:rsid w:val="002A7092"/>
    <w:rsid w:val="002B1D2F"/>
    <w:rsid w:val="002B23C9"/>
    <w:rsid w:val="002B265F"/>
    <w:rsid w:val="002B33DB"/>
    <w:rsid w:val="002B36C6"/>
    <w:rsid w:val="002B486C"/>
    <w:rsid w:val="002B4F1A"/>
    <w:rsid w:val="002B6181"/>
    <w:rsid w:val="002B72E0"/>
    <w:rsid w:val="002C0D66"/>
    <w:rsid w:val="002C2557"/>
    <w:rsid w:val="002C26C2"/>
    <w:rsid w:val="002C300F"/>
    <w:rsid w:val="002C4C8D"/>
    <w:rsid w:val="002C5829"/>
    <w:rsid w:val="002C5D59"/>
    <w:rsid w:val="002C672C"/>
    <w:rsid w:val="002C73CB"/>
    <w:rsid w:val="002C7787"/>
    <w:rsid w:val="002D110A"/>
    <w:rsid w:val="002D29B5"/>
    <w:rsid w:val="002D2C61"/>
    <w:rsid w:val="002D33A5"/>
    <w:rsid w:val="002D3B29"/>
    <w:rsid w:val="002D54DE"/>
    <w:rsid w:val="002D5738"/>
    <w:rsid w:val="002D6282"/>
    <w:rsid w:val="002D6A91"/>
    <w:rsid w:val="002D7FAB"/>
    <w:rsid w:val="002E3219"/>
    <w:rsid w:val="002E3D31"/>
    <w:rsid w:val="002E5882"/>
    <w:rsid w:val="002E6995"/>
    <w:rsid w:val="002E7BEC"/>
    <w:rsid w:val="002F0B45"/>
    <w:rsid w:val="002F0E10"/>
    <w:rsid w:val="002F2E13"/>
    <w:rsid w:val="002F31AC"/>
    <w:rsid w:val="002F35FB"/>
    <w:rsid w:val="002F4905"/>
    <w:rsid w:val="002F4CCA"/>
    <w:rsid w:val="00303F7A"/>
    <w:rsid w:val="00304857"/>
    <w:rsid w:val="003054EC"/>
    <w:rsid w:val="00310487"/>
    <w:rsid w:val="00311E72"/>
    <w:rsid w:val="00312385"/>
    <w:rsid w:val="0031252D"/>
    <w:rsid w:val="00312862"/>
    <w:rsid w:val="0031341A"/>
    <w:rsid w:val="003140FF"/>
    <w:rsid w:val="00315804"/>
    <w:rsid w:val="0031768E"/>
    <w:rsid w:val="00317E14"/>
    <w:rsid w:val="003208EE"/>
    <w:rsid w:val="0032130C"/>
    <w:rsid w:val="003213CA"/>
    <w:rsid w:val="0032305D"/>
    <w:rsid w:val="003232AC"/>
    <w:rsid w:val="003245D2"/>
    <w:rsid w:val="0032548E"/>
    <w:rsid w:val="00325B75"/>
    <w:rsid w:val="00327192"/>
    <w:rsid w:val="00327F27"/>
    <w:rsid w:val="003308FA"/>
    <w:rsid w:val="003313CE"/>
    <w:rsid w:val="00332D45"/>
    <w:rsid w:val="00334FC5"/>
    <w:rsid w:val="00335C26"/>
    <w:rsid w:val="00337CA9"/>
    <w:rsid w:val="003401FB"/>
    <w:rsid w:val="0034029A"/>
    <w:rsid w:val="00340884"/>
    <w:rsid w:val="00341A6E"/>
    <w:rsid w:val="00341C8F"/>
    <w:rsid w:val="003421A7"/>
    <w:rsid w:val="00342770"/>
    <w:rsid w:val="0034341C"/>
    <w:rsid w:val="00343C0D"/>
    <w:rsid w:val="003441CB"/>
    <w:rsid w:val="00344C75"/>
    <w:rsid w:val="00345B31"/>
    <w:rsid w:val="00346254"/>
    <w:rsid w:val="003476D3"/>
    <w:rsid w:val="00347DF3"/>
    <w:rsid w:val="00347EF8"/>
    <w:rsid w:val="00347F61"/>
    <w:rsid w:val="003517B1"/>
    <w:rsid w:val="00351A6E"/>
    <w:rsid w:val="00352F3E"/>
    <w:rsid w:val="003534C8"/>
    <w:rsid w:val="003548BD"/>
    <w:rsid w:val="00355DD4"/>
    <w:rsid w:val="00356741"/>
    <w:rsid w:val="003570B8"/>
    <w:rsid w:val="00357240"/>
    <w:rsid w:val="00357943"/>
    <w:rsid w:val="00360F44"/>
    <w:rsid w:val="003627EF"/>
    <w:rsid w:val="00362DFD"/>
    <w:rsid w:val="003631F9"/>
    <w:rsid w:val="00365984"/>
    <w:rsid w:val="003662A7"/>
    <w:rsid w:val="00366C5D"/>
    <w:rsid w:val="0037041F"/>
    <w:rsid w:val="00370E92"/>
    <w:rsid w:val="003713C2"/>
    <w:rsid w:val="00372109"/>
    <w:rsid w:val="00372662"/>
    <w:rsid w:val="003735E1"/>
    <w:rsid w:val="00373FD5"/>
    <w:rsid w:val="003752A1"/>
    <w:rsid w:val="00375D71"/>
    <w:rsid w:val="00376F9F"/>
    <w:rsid w:val="003777B7"/>
    <w:rsid w:val="00377ACC"/>
    <w:rsid w:val="00381133"/>
    <w:rsid w:val="00382012"/>
    <w:rsid w:val="00382D28"/>
    <w:rsid w:val="0038370E"/>
    <w:rsid w:val="0038483E"/>
    <w:rsid w:val="00384DB3"/>
    <w:rsid w:val="00386C0A"/>
    <w:rsid w:val="00387B68"/>
    <w:rsid w:val="00387E2E"/>
    <w:rsid w:val="00387EBD"/>
    <w:rsid w:val="003900AC"/>
    <w:rsid w:val="00390337"/>
    <w:rsid w:val="003904AE"/>
    <w:rsid w:val="00394650"/>
    <w:rsid w:val="003954E7"/>
    <w:rsid w:val="0039631B"/>
    <w:rsid w:val="003A03B1"/>
    <w:rsid w:val="003A0680"/>
    <w:rsid w:val="003A2650"/>
    <w:rsid w:val="003A377A"/>
    <w:rsid w:val="003A421E"/>
    <w:rsid w:val="003A691F"/>
    <w:rsid w:val="003A7244"/>
    <w:rsid w:val="003A7976"/>
    <w:rsid w:val="003A7E25"/>
    <w:rsid w:val="003B1601"/>
    <w:rsid w:val="003B3866"/>
    <w:rsid w:val="003B3D91"/>
    <w:rsid w:val="003B55AA"/>
    <w:rsid w:val="003B647F"/>
    <w:rsid w:val="003B66FD"/>
    <w:rsid w:val="003B6FC8"/>
    <w:rsid w:val="003C00E3"/>
    <w:rsid w:val="003C1496"/>
    <w:rsid w:val="003C15EA"/>
    <w:rsid w:val="003C28E3"/>
    <w:rsid w:val="003C30C4"/>
    <w:rsid w:val="003C35EB"/>
    <w:rsid w:val="003C3F1F"/>
    <w:rsid w:val="003C5155"/>
    <w:rsid w:val="003C5304"/>
    <w:rsid w:val="003D0945"/>
    <w:rsid w:val="003D5AF0"/>
    <w:rsid w:val="003D68DD"/>
    <w:rsid w:val="003E0A2D"/>
    <w:rsid w:val="003E0DDF"/>
    <w:rsid w:val="003E21A2"/>
    <w:rsid w:val="003E3572"/>
    <w:rsid w:val="003E50A1"/>
    <w:rsid w:val="003E5DFA"/>
    <w:rsid w:val="003E62F8"/>
    <w:rsid w:val="003E7180"/>
    <w:rsid w:val="003E7C9A"/>
    <w:rsid w:val="003F2467"/>
    <w:rsid w:val="003F2BFD"/>
    <w:rsid w:val="003F3E6C"/>
    <w:rsid w:val="003F5C2E"/>
    <w:rsid w:val="003F780F"/>
    <w:rsid w:val="00400092"/>
    <w:rsid w:val="0040031F"/>
    <w:rsid w:val="004006A9"/>
    <w:rsid w:val="004008A7"/>
    <w:rsid w:val="0040187B"/>
    <w:rsid w:val="00401E6F"/>
    <w:rsid w:val="00405A36"/>
    <w:rsid w:val="00405C24"/>
    <w:rsid w:val="00405F53"/>
    <w:rsid w:val="00405F73"/>
    <w:rsid w:val="0040652A"/>
    <w:rsid w:val="00407E69"/>
    <w:rsid w:val="00410341"/>
    <w:rsid w:val="004103BD"/>
    <w:rsid w:val="00410A2C"/>
    <w:rsid w:val="00410CF0"/>
    <w:rsid w:val="0041162D"/>
    <w:rsid w:val="00411663"/>
    <w:rsid w:val="00414D34"/>
    <w:rsid w:val="004154E2"/>
    <w:rsid w:val="00416E41"/>
    <w:rsid w:val="00416FF0"/>
    <w:rsid w:val="00417F5E"/>
    <w:rsid w:val="00420423"/>
    <w:rsid w:val="00420586"/>
    <w:rsid w:val="00421277"/>
    <w:rsid w:val="00421993"/>
    <w:rsid w:val="00424100"/>
    <w:rsid w:val="00424671"/>
    <w:rsid w:val="004251DD"/>
    <w:rsid w:val="00425D72"/>
    <w:rsid w:val="00425ED2"/>
    <w:rsid w:val="00425F43"/>
    <w:rsid w:val="00427003"/>
    <w:rsid w:val="00427065"/>
    <w:rsid w:val="0042788C"/>
    <w:rsid w:val="00430A9E"/>
    <w:rsid w:val="00430C9D"/>
    <w:rsid w:val="004315B2"/>
    <w:rsid w:val="00431B3F"/>
    <w:rsid w:val="00431BF5"/>
    <w:rsid w:val="00431DD7"/>
    <w:rsid w:val="00433B2B"/>
    <w:rsid w:val="00433D4D"/>
    <w:rsid w:val="00434AD5"/>
    <w:rsid w:val="00434B07"/>
    <w:rsid w:val="00434D09"/>
    <w:rsid w:val="00435034"/>
    <w:rsid w:val="00436936"/>
    <w:rsid w:val="004375A7"/>
    <w:rsid w:val="00437C65"/>
    <w:rsid w:val="004403AE"/>
    <w:rsid w:val="00441124"/>
    <w:rsid w:val="0044178A"/>
    <w:rsid w:val="00441B12"/>
    <w:rsid w:val="004428D0"/>
    <w:rsid w:val="004435D1"/>
    <w:rsid w:val="00443E51"/>
    <w:rsid w:val="004444B1"/>
    <w:rsid w:val="00445F23"/>
    <w:rsid w:val="00446481"/>
    <w:rsid w:val="00446972"/>
    <w:rsid w:val="004478B3"/>
    <w:rsid w:val="00450B37"/>
    <w:rsid w:val="00451203"/>
    <w:rsid w:val="00451C20"/>
    <w:rsid w:val="00452F9B"/>
    <w:rsid w:val="004542E7"/>
    <w:rsid w:val="004549FF"/>
    <w:rsid w:val="0045511C"/>
    <w:rsid w:val="004557E2"/>
    <w:rsid w:val="004559EB"/>
    <w:rsid w:val="00457058"/>
    <w:rsid w:val="00457F36"/>
    <w:rsid w:val="00461798"/>
    <w:rsid w:val="00462A88"/>
    <w:rsid w:val="00463940"/>
    <w:rsid w:val="00463D22"/>
    <w:rsid w:val="00464D2A"/>
    <w:rsid w:val="004650CB"/>
    <w:rsid w:val="004662B3"/>
    <w:rsid w:val="00466BBC"/>
    <w:rsid w:val="0046766C"/>
    <w:rsid w:val="00467A00"/>
    <w:rsid w:val="00470585"/>
    <w:rsid w:val="00471C51"/>
    <w:rsid w:val="00471C8D"/>
    <w:rsid w:val="004720D0"/>
    <w:rsid w:val="004725A1"/>
    <w:rsid w:val="004750FB"/>
    <w:rsid w:val="004758A9"/>
    <w:rsid w:val="00476708"/>
    <w:rsid w:val="0047709B"/>
    <w:rsid w:val="00480DB1"/>
    <w:rsid w:val="00481D65"/>
    <w:rsid w:val="0048397A"/>
    <w:rsid w:val="00483A40"/>
    <w:rsid w:val="00483C02"/>
    <w:rsid w:val="00483D5D"/>
    <w:rsid w:val="004851EB"/>
    <w:rsid w:val="0048598F"/>
    <w:rsid w:val="00486357"/>
    <w:rsid w:val="00486771"/>
    <w:rsid w:val="00486DA5"/>
    <w:rsid w:val="00487A4A"/>
    <w:rsid w:val="0049078D"/>
    <w:rsid w:val="00490B43"/>
    <w:rsid w:val="00490EE3"/>
    <w:rsid w:val="00491543"/>
    <w:rsid w:val="004917AC"/>
    <w:rsid w:val="00492558"/>
    <w:rsid w:val="00493A8B"/>
    <w:rsid w:val="004957A8"/>
    <w:rsid w:val="00495B63"/>
    <w:rsid w:val="00495CA3"/>
    <w:rsid w:val="00496192"/>
    <w:rsid w:val="00496BC4"/>
    <w:rsid w:val="00497221"/>
    <w:rsid w:val="004974BA"/>
    <w:rsid w:val="004A052C"/>
    <w:rsid w:val="004A219C"/>
    <w:rsid w:val="004A2B61"/>
    <w:rsid w:val="004A3151"/>
    <w:rsid w:val="004A3B10"/>
    <w:rsid w:val="004A430C"/>
    <w:rsid w:val="004A4495"/>
    <w:rsid w:val="004A4F16"/>
    <w:rsid w:val="004A557A"/>
    <w:rsid w:val="004A5CA3"/>
    <w:rsid w:val="004A66B5"/>
    <w:rsid w:val="004B045B"/>
    <w:rsid w:val="004B06A0"/>
    <w:rsid w:val="004B18EB"/>
    <w:rsid w:val="004B24C5"/>
    <w:rsid w:val="004B28C8"/>
    <w:rsid w:val="004B2E9A"/>
    <w:rsid w:val="004B4682"/>
    <w:rsid w:val="004B61FB"/>
    <w:rsid w:val="004B6A9D"/>
    <w:rsid w:val="004C1054"/>
    <w:rsid w:val="004C123B"/>
    <w:rsid w:val="004C1307"/>
    <w:rsid w:val="004C16AD"/>
    <w:rsid w:val="004C1B91"/>
    <w:rsid w:val="004C1F81"/>
    <w:rsid w:val="004C4E98"/>
    <w:rsid w:val="004C7279"/>
    <w:rsid w:val="004C7635"/>
    <w:rsid w:val="004C77F0"/>
    <w:rsid w:val="004D25D9"/>
    <w:rsid w:val="004D25F2"/>
    <w:rsid w:val="004D2E60"/>
    <w:rsid w:val="004D3147"/>
    <w:rsid w:val="004D5592"/>
    <w:rsid w:val="004D5A39"/>
    <w:rsid w:val="004D61EB"/>
    <w:rsid w:val="004D62E6"/>
    <w:rsid w:val="004D682E"/>
    <w:rsid w:val="004D6F0F"/>
    <w:rsid w:val="004D72F7"/>
    <w:rsid w:val="004D7550"/>
    <w:rsid w:val="004D7867"/>
    <w:rsid w:val="004D7B95"/>
    <w:rsid w:val="004E0079"/>
    <w:rsid w:val="004E0691"/>
    <w:rsid w:val="004E1FDA"/>
    <w:rsid w:val="004E248A"/>
    <w:rsid w:val="004E3E0C"/>
    <w:rsid w:val="004E422C"/>
    <w:rsid w:val="004E55BE"/>
    <w:rsid w:val="004E72E0"/>
    <w:rsid w:val="004E7798"/>
    <w:rsid w:val="004F0066"/>
    <w:rsid w:val="004F0207"/>
    <w:rsid w:val="004F0ACC"/>
    <w:rsid w:val="004F0F2B"/>
    <w:rsid w:val="004F3B06"/>
    <w:rsid w:val="004F3F75"/>
    <w:rsid w:val="004F4DF3"/>
    <w:rsid w:val="004F535F"/>
    <w:rsid w:val="004F6009"/>
    <w:rsid w:val="004F6AE9"/>
    <w:rsid w:val="0050069F"/>
    <w:rsid w:val="00500859"/>
    <w:rsid w:val="0050255B"/>
    <w:rsid w:val="005032BA"/>
    <w:rsid w:val="00503D11"/>
    <w:rsid w:val="00504F2B"/>
    <w:rsid w:val="005050B0"/>
    <w:rsid w:val="005054FE"/>
    <w:rsid w:val="005056C3"/>
    <w:rsid w:val="00506161"/>
    <w:rsid w:val="00506D5C"/>
    <w:rsid w:val="0050777E"/>
    <w:rsid w:val="00507891"/>
    <w:rsid w:val="005107D3"/>
    <w:rsid w:val="00510DFE"/>
    <w:rsid w:val="00510F66"/>
    <w:rsid w:val="00511C3E"/>
    <w:rsid w:val="0051245E"/>
    <w:rsid w:val="0051399F"/>
    <w:rsid w:val="005149B9"/>
    <w:rsid w:val="00514E3C"/>
    <w:rsid w:val="00514F07"/>
    <w:rsid w:val="00516813"/>
    <w:rsid w:val="00516FED"/>
    <w:rsid w:val="00517844"/>
    <w:rsid w:val="00520F21"/>
    <w:rsid w:val="00521603"/>
    <w:rsid w:val="005216D8"/>
    <w:rsid w:val="00521A41"/>
    <w:rsid w:val="00523FF6"/>
    <w:rsid w:val="00524120"/>
    <w:rsid w:val="005257E8"/>
    <w:rsid w:val="00526F5A"/>
    <w:rsid w:val="00527BA9"/>
    <w:rsid w:val="00530573"/>
    <w:rsid w:val="00532807"/>
    <w:rsid w:val="00532C05"/>
    <w:rsid w:val="00534B68"/>
    <w:rsid w:val="00535B43"/>
    <w:rsid w:val="0053657C"/>
    <w:rsid w:val="00537A5C"/>
    <w:rsid w:val="00540F82"/>
    <w:rsid w:val="00541D97"/>
    <w:rsid w:val="005425EE"/>
    <w:rsid w:val="005436A4"/>
    <w:rsid w:val="00544E83"/>
    <w:rsid w:val="005450EB"/>
    <w:rsid w:val="00545CC6"/>
    <w:rsid w:val="00546AEF"/>
    <w:rsid w:val="00547198"/>
    <w:rsid w:val="0054733E"/>
    <w:rsid w:val="0054789C"/>
    <w:rsid w:val="00550AF0"/>
    <w:rsid w:val="00551058"/>
    <w:rsid w:val="00551DC4"/>
    <w:rsid w:val="00553FBA"/>
    <w:rsid w:val="0055519B"/>
    <w:rsid w:val="00555D6F"/>
    <w:rsid w:val="00556233"/>
    <w:rsid w:val="00557058"/>
    <w:rsid w:val="00557336"/>
    <w:rsid w:val="00560ECB"/>
    <w:rsid w:val="00560EE2"/>
    <w:rsid w:val="005617C4"/>
    <w:rsid w:val="00563711"/>
    <w:rsid w:val="005643B4"/>
    <w:rsid w:val="0056462B"/>
    <w:rsid w:val="00565D24"/>
    <w:rsid w:val="00565F07"/>
    <w:rsid w:val="00565F22"/>
    <w:rsid w:val="00566451"/>
    <w:rsid w:val="00566851"/>
    <w:rsid w:val="0056749F"/>
    <w:rsid w:val="00570703"/>
    <w:rsid w:val="00571671"/>
    <w:rsid w:val="00571727"/>
    <w:rsid w:val="00572004"/>
    <w:rsid w:val="0057270D"/>
    <w:rsid w:val="00573FD8"/>
    <w:rsid w:val="00574802"/>
    <w:rsid w:val="005748EF"/>
    <w:rsid w:val="0057499A"/>
    <w:rsid w:val="00576FF8"/>
    <w:rsid w:val="005771C0"/>
    <w:rsid w:val="00577A13"/>
    <w:rsid w:val="00582AFC"/>
    <w:rsid w:val="00582C97"/>
    <w:rsid w:val="00583ACA"/>
    <w:rsid w:val="00583D0F"/>
    <w:rsid w:val="005845D8"/>
    <w:rsid w:val="00584EB1"/>
    <w:rsid w:val="00585C42"/>
    <w:rsid w:val="005862FC"/>
    <w:rsid w:val="00586411"/>
    <w:rsid w:val="00587333"/>
    <w:rsid w:val="005876E1"/>
    <w:rsid w:val="0059001E"/>
    <w:rsid w:val="0059113B"/>
    <w:rsid w:val="00591263"/>
    <w:rsid w:val="00591E8F"/>
    <w:rsid w:val="00592427"/>
    <w:rsid w:val="0059384F"/>
    <w:rsid w:val="00593E4D"/>
    <w:rsid w:val="0059481B"/>
    <w:rsid w:val="00595B1F"/>
    <w:rsid w:val="00596A5C"/>
    <w:rsid w:val="005976BA"/>
    <w:rsid w:val="00597BF9"/>
    <w:rsid w:val="005A0E1A"/>
    <w:rsid w:val="005A119C"/>
    <w:rsid w:val="005A1359"/>
    <w:rsid w:val="005A2D47"/>
    <w:rsid w:val="005A31E1"/>
    <w:rsid w:val="005A3328"/>
    <w:rsid w:val="005A5518"/>
    <w:rsid w:val="005A6B91"/>
    <w:rsid w:val="005A7C19"/>
    <w:rsid w:val="005B01ED"/>
    <w:rsid w:val="005B147C"/>
    <w:rsid w:val="005B24D9"/>
    <w:rsid w:val="005B2F92"/>
    <w:rsid w:val="005B316F"/>
    <w:rsid w:val="005B3386"/>
    <w:rsid w:val="005B36EF"/>
    <w:rsid w:val="005B44E2"/>
    <w:rsid w:val="005B4995"/>
    <w:rsid w:val="005B5B18"/>
    <w:rsid w:val="005B5C6C"/>
    <w:rsid w:val="005B69C3"/>
    <w:rsid w:val="005B79AC"/>
    <w:rsid w:val="005C07A2"/>
    <w:rsid w:val="005C0980"/>
    <w:rsid w:val="005C478B"/>
    <w:rsid w:val="005C494B"/>
    <w:rsid w:val="005C716F"/>
    <w:rsid w:val="005C7D79"/>
    <w:rsid w:val="005D0F5D"/>
    <w:rsid w:val="005D107F"/>
    <w:rsid w:val="005D1352"/>
    <w:rsid w:val="005D2389"/>
    <w:rsid w:val="005D2917"/>
    <w:rsid w:val="005D30BA"/>
    <w:rsid w:val="005D35F7"/>
    <w:rsid w:val="005D4057"/>
    <w:rsid w:val="005D54F8"/>
    <w:rsid w:val="005D5C3F"/>
    <w:rsid w:val="005E0002"/>
    <w:rsid w:val="005E02B9"/>
    <w:rsid w:val="005E03AB"/>
    <w:rsid w:val="005E24BC"/>
    <w:rsid w:val="005E3145"/>
    <w:rsid w:val="005E6E37"/>
    <w:rsid w:val="005E712C"/>
    <w:rsid w:val="005E7A36"/>
    <w:rsid w:val="005F03B6"/>
    <w:rsid w:val="005F06A9"/>
    <w:rsid w:val="005F09B8"/>
    <w:rsid w:val="005F1C08"/>
    <w:rsid w:val="005F4238"/>
    <w:rsid w:val="005F6B69"/>
    <w:rsid w:val="005F6F62"/>
    <w:rsid w:val="005F6FA1"/>
    <w:rsid w:val="006002E1"/>
    <w:rsid w:val="006024A8"/>
    <w:rsid w:val="00603CEC"/>
    <w:rsid w:val="00603DD6"/>
    <w:rsid w:val="00603EE0"/>
    <w:rsid w:val="00604A67"/>
    <w:rsid w:val="00604F77"/>
    <w:rsid w:val="00607745"/>
    <w:rsid w:val="00607764"/>
    <w:rsid w:val="00607A16"/>
    <w:rsid w:val="00607DF9"/>
    <w:rsid w:val="00610ABB"/>
    <w:rsid w:val="0061253E"/>
    <w:rsid w:val="00612752"/>
    <w:rsid w:val="006128C4"/>
    <w:rsid w:val="006150AD"/>
    <w:rsid w:val="00616A9C"/>
    <w:rsid w:val="006179FA"/>
    <w:rsid w:val="00620DB4"/>
    <w:rsid w:val="006215EB"/>
    <w:rsid w:val="00624346"/>
    <w:rsid w:val="0062437E"/>
    <w:rsid w:val="00626AD9"/>
    <w:rsid w:val="00630340"/>
    <w:rsid w:val="006310EF"/>
    <w:rsid w:val="00631B60"/>
    <w:rsid w:val="006323F6"/>
    <w:rsid w:val="0063564A"/>
    <w:rsid w:val="00635884"/>
    <w:rsid w:val="0064155D"/>
    <w:rsid w:val="00641AC9"/>
    <w:rsid w:val="00642F7D"/>
    <w:rsid w:val="00644C7A"/>
    <w:rsid w:val="00644F19"/>
    <w:rsid w:val="00645233"/>
    <w:rsid w:val="00646772"/>
    <w:rsid w:val="00647931"/>
    <w:rsid w:val="00647E42"/>
    <w:rsid w:val="006507B8"/>
    <w:rsid w:val="006515FB"/>
    <w:rsid w:val="00651A23"/>
    <w:rsid w:val="00651ED8"/>
    <w:rsid w:val="0065217F"/>
    <w:rsid w:val="006528AE"/>
    <w:rsid w:val="00652D36"/>
    <w:rsid w:val="00653A66"/>
    <w:rsid w:val="006542E2"/>
    <w:rsid w:val="0065558D"/>
    <w:rsid w:val="00655E53"/>
    <w:rsid w:val="00656EBA"/>
    <w:rsid w:val="00657568"/>
    <w:rsid w:val="006606C6"/>
    <w:rsid w:val="0066134B"/>
    <w:rsid w:val="006631CA"/>
    <w:rsid w:val="006645C1"/>
    <w:rsid w:val="006657EB"/>
    <w:rsid w:val="0066688C"/>
    <w:rsid w:val="00666CF1"/>
    <w:rsid w:val="00666E6B"/>
    <w:rsid w:val="006705B4"/>
    <w:rsid w:val="00671129"/>
    <w:rsid w:val="00672DD2"/>
    <w:rsid w:val="0067395C"/>
    <w:rsid w:val="006771FF"/>
    <w:rsid w:val="00677CC1"/>
    <w:rsid w:val="00677CF7"/>
    <w:rsid w:val="006808AC"/>
    <w:rsid w:val="00680D86"/>
    <w:rsid w:val="00680FA9"/>
    <w:rsid w:val="006810BC"/>
    <w:rsid w:val="006810C7"/>
    <w:rsid w:val="00684A05"/>
    <w:rsid w:val="00686D93"/>
    <w:rsid w:val="006913E3"/>
    <w:rsid w:val="0069285E"/>
    <w:rsid w:val="00694441"/>
    <w:rsid w:val="00694D57"/>
    <w:rsid w:val="0069535F"/>
    <w:rsid w:val="00695FAE"/>
    <w:rsid w:val="00696A3D"/>
    <w:rsid w:val="00696AB9"/>
    <w:rsid w:val="006A0907"/>
    <w:rsid w:val="006A120B"/>
    <w:rsid w:val="006A23B1"/>
    <w:rsid w:val="006A3928"/>
    <w:rsid w:val="006A3B0D"/>
    <w:rsid w:val="006A65D7"/>
    <w:rsid w:val="006A68C2"/>
    <w:rsid w:val="006A7EAE"/>
    <w:rsid w:val="006B03AD"/>
    <w:rsid w:val="006B0E21"/>
    <w:rsid w:val="006B120C"/>
    <w:rsid w:val="006B1FE9"/>
    <w:rsid w:val="006B2180"/>
    <w:rsid w:val="006B29F4"/>
    <w:rsid w:val="006B2AE7"/>
    <w:rsid w:val="006B2FE7"/>
    <w:rsid w:val="006B45A5"/>
    <w:rsid w:val="006B4D57"/>
    <w:rsid w:val="006B5C6B"/>
    <w:rsid w:val="006B5E20"/>
    <w:rsid w:val="006B79A1"/>
    <w:rsid w:val="006C0823"/>
    <w:rsid w:val="006C1DE9"/>
    <w:rsid w:val="006C2847"/>
    <w:rsid w:val="006C2A1F"/>
    <w:rsid w:val="006C2EE2"/>
    <w:rsid w:val="006C3F01"/>
    <w:rsid w:val="006C4504"/>
    <w:rsid w:val="006C4880"/>
    <w:rsid w:val="006C67C4"/>
    <w:rsid w:val="006C75FB"/>
    <w:rsid w:val="006D0657"/>
    <w:rsid w:val="006D22D1"/>
    <w:rsid w:val="006D4AA0"/>
    <w:rsid w:val="006D4D30"/>
    <w:rsid w:val="006D5A35"/>
    <w:rsid w:val="006D61B8"/>
    <w:rsid w:val="006D69E1"/>
    <w:rsid w:val="006E0BB8"/>
    <w:rsid w:val="006E0CBB"/>
    <w:rsid w:val="006E2410"/>
    <w:rsid w:val="006E25B0"/>
    <w:rsid w:val="006E3D6C"/>
    <w:rsid w:val="006E6713"/>
    <w:rsid w:val="006E6C5B"/>
    <w:rsid w:val="006E6E31"/>
    <w:rsid w:val="006E6EA9"/>
    <w:rsid w:val="006E7707"/>
    <w:rsid w:val="006F00B5"/>
    <w:rsid w:val="006F1796"/>
    <w:rsid w:val="006F2424"/>
    <w:rsid w:val="006F305A"/>
    <w:rsid w:val="006F316B"/>
    <w:rsid w:val="006F3E70"/>
    <w:rsid w:val="006F50BC"/>
    <w:rsid w:val="006F6A25"/>
    <w:rsid w:val="00700207"/>
    <w:rsid w:val="00700D8B"/>
    <w:rsid w:val="00701381"/>
    <w:rsid w:val="00701A3A"/>
    <w:rsid w:val="007051B8"/>
    <w:rsid w:val="007060E6"/>
    <w:rsid w:val="007073C2"/>
    <w:rsid w:val="00707EF9"/>
    <w:rsid w:val="0071106B"/>
    <w:rsid w:val="007127C0"/>
    <w:rsid w:val="00714B9A"/>
    <w:rsid w:val="00714DBC"/>
    <w:rsid w:val="00715906"/>
    <w:rsid w:val="007224BA"/>
    <w:rsid w:val="007242D3"/>
    <w:rsid w:val="00724D91"/>
    <w:rsid w:val="00725603"/>
    <w:rsid w:val="007257BA"/>
    <w:rsid w:val="00725FAD"/>
    <w:rsid w:val="00726E62"/>
    <w:rsid w:val="00726F87"/>
    <w:rsid w:val="00731952"/>
    <w:rsid w:val="007327BD"/>
    <w:rsid w:val="00733495"/>
    <w:rsid w:val="00734CF9"/>
    <w:rsid w:val="0073599E"/>
    <w:rsid w:val="007363C5"/>
    <w:rsid w:val="00736A7F"/>
    <w:rsid w:val="00737974"/>
    <w:rsid w:val="00737999"/>
    <w:rsid w:val="0074011E"/>
    <w:rsid w:val="00741137"/>
    <w:rsid w:val="00741FC4"/>
    <w:rsid w:val="00744704"/>
    <w:rsid w:val="00744F42"/>
    <w:rsid w:val="00745711"/>
    <w:rsid w:val="00745CA2"/>
    <w:rsid w:val="007462BC"/>
    <w:rsid w:val="0075121E"/>
    <w:rsid w:val="00754889"/>
    <w:rsid w:val="00754F87"/>
    <w:rsid w:val="007551A0"/>
    <w:rsid w:val="0075551C"/>
    <w:rsid w:val="00756248"/>
    <w:rsid w:val="00762715"/>
    <w:rsid w:val="00762922"/>
    <w:rsid w:val="00763678"/>
    <w:rsid w:val="00763EB9"/>
    <w:rsid w:val="007650C7"/>
    <w:rsid w:val="00765772"/>
    <w:rsid w:val="0076604D"/>
    <w:rsid w:val="007702BD"/>
    <w:rsid w:val="007707AB"/>
    <w:rsid w:val="00772048"/>
    <w:rsid w:val="0077260D"/>
    <w:rsid w:val="00772BEF"/>
    <w:rsid w:val="00773100"/>
    <w:rsid w:val="00773296"/>
    <w:rsid w:val="00773FD9"/>
    <w:rsid w:val="00774631"/>
    <w:rsid w:val="00775A08"/>
    <w:rsid w:val="00776EA0"/>
    <w:rsid w:val="00780591"/>
    <w:rsid w:val="00780AFB"/>
    <w:rsid w:val="00781A0D"/>
    <w:rsid w:val="00781EAE"/>
    <w:rsid w:val="00782ABA"/>
    <w:rsid w:val="007830B5"/>
    <w:rsid w:val="00785010"/>
    <w:rsid w:val="00785790"/>
    <w:rsid w:val="007869AC"/>
    <w:rsid w:val="00787523"/>
    <w:rsid w:val="007910EF"/>
    <w:rsid w:val="00791654"/>
    <w:rsid w:val="007925A5"/>
    <w:rsid w:val="00792F21"/>
    <w:rsid w:val="007939F5"/>
    <w:rsid w:val="00794285"/>
    <w:rsid w:val="00794BB0"/>
    <w:rsid w:val="0079611C"/>
    <w:rsid w:val="00796500"/>
    <w:rsid w:val="007A15D8"/>
    <w:rsid w:val="007A2A93"/>
    <w:rsid w:val="007A43BC"/>
    <w:rsid w:val="007A45B2"/>
    <w:rsid w:val="007A5D25"/>
    <w:rsid w:val="007A6590"/>
    <w:rsid w:val="007A7C91"/>
    <w:rsid w:val="007B0007"/>
    <w:rsid w:val="007B107B"/>
    <w:rsid w:val="007B26E7"/>
    <w:rsid w:val="007B40AC"/>
    <w:rsid w:val="007B454D"/>
    <w:rsid w:val="007B5787"/>
    <w:rsid w:val="007B590B"/>
    <w:rsid w:val="007B5925"/>
    <w:rsid w:val="007B62EC"/>
    <w:rsid w:val="007B68F2"/>
    <w:rsid w:val="007B7424"/>
    <w:rsid w:val="007B75CD"/>
    <w:rsid w:val="007C0435"/>
    <w:rsid w:val="007C0B24"/>
    <w:rsid w:val="007C0D39"/>
    <w:rsid w:val="007C19B4"/>
    <w:rsid w:val="007C19CB"/>
    <w:rsid w:val="007C1A5D"/>
    <w:rsid w:val="007C3252"/>
    <w:rsid w:val="007C347D"/>
    <w:rsid w:val="007C3A45"/>
    <w:rsid w:val="007C3FA1"/>
    <w:rsid w:val="007C55AE"/>
    <w:rsid w:val="007C5628"/>
    <w:rsid w:val="007C5919"/>
    <w:rsid w:val="007C7AB1"/>
    <w:rsid w:val="007D0B66"/>
    <w:rsid w:val="007D0E5C"/>
    <w:rsid w:val="007D2433"/>
    <w:rsid w:val="007D4682"/>
    <w:rsid w:val="007D47B5"/>
    <w:rsid w:val="007D573E"/>
    <w:rsid w:val="007D6195"/>
    <w:rsid w:val="007D6250"/>
    <w:rsid w:val="007E03E7"/>
    <w:rsid w:val="007E07E7"/>
    <w:rsid w:val="007E0995"/>
    <w:rsid w:val="007E1476"/>
    <w:rsid w:val="007E188B"/>
    <w:rsid w:val="007E1939"/>
    <w:rsid w:val="007E1CAF"/>
    <w:rsid w:val="007E341A"/>
    <w:rsid w:val="007E3747"/>
    <w:rsid w:val="007E50EE"/>
    <w:rsid w:val="007E6408"/>
    <w:rsid w:val="007E6C66"/>
    <w:rsid w:val="007E7C86"/>
    <w:rsid w:val="007F1B17"/>
    <w:rsid w:val="007F1CF5"/>
    <w:rsid w:val="007F31BE"/>
    <w:rsid w:val="007F53AA"/>
    <w:rsid w:val="007F5832"/>
    <w:rsid w:val="007F5A8B"/>
    <w:rsid w:val="007F7D25"/>
    <w:rsid w:val="008003FF"/>
    <w:rsid w:val="008008C4"/>
    <w:rsid w:val="008008FD"/>
    <w:rsid w:val="0080094D"/>
    <w:rsid w:val="0080122C"/>
    <w:rsid w:val="0080211F"/>
    <w:rsid w:val="0080255F"/>
    <w:rsid w:val="00802823"/>
    <w:rsid w:val="00802B0A"/>
    <w:rsid w:val="008030AA"/>
    <w:rsid w:val="00803E5F"/>
    <w:rsid w:val="0080481E"/>
    <w:rsid w:val="00804FEE"/>
    <w:rsid w:val="00805125"/>
    <w:rsid w:val="0080568D"/>
    <w:rsid w:val="00806871"/>
    <w:rsid w:val="008076C7"/>
    <w:rsid w:val="00807BC8"/>
    <w:rsid w:val="00810020"/>
    <w:rsid w:val="008100A6"/>
    <w:rsid w:val="008101EB"/>
    <w:rsid w:val="00810D7C"/>
    <w:rsid w:val="00813318"/>
    <w:rsid w:val="00813498"/>
    <w:rsid w:val="0081373C"/>
    <w:rsid w:val="00817203"/>
    <w:rsid w:val="0081790B"/>
    <w:rsid w:val="008205B3"/>
    <w:rsid w:val="00820888"/>
    <w:rsid w:val="00821C17"/>
    <w:rsid w:val="00822224"/>
    <w:rsid w:val="00823BDA"/>
    <w:rsid w:val="00826171"/>
    <w:rsid w:val="00826611"/>
    <w:rsid w:val="00826FDF"/>
    <w:rsid w:val="00830787"/>
    <w:rsid w:val="008308BD"/>
    <w:rsid w:val="00830C7B"/>
    <w:rsid w:val="00830DD5"/>
    <w:rsid w:val="00830F92"/>
    <w:rsid w:val="00832000"/>
    <w:rsid w:val="0083308F"/>
    <w:rsid w:val="008344E1"/>
    <w:rsid w:val="00834763"/>
    <w:rsid w:val="008357CB"/>
    <w:rsid w:val="0083773D"/>
    <w:rsid w:val="00840100"/>
    <w:rsid w:val="00841D53"/>
    <w:rsid w:val="008422D7"/>
    <w:rsid w:val="00842744"/>
    <w:rsid w:val="00842FF8"/>
    <w:rsid w:val="0085003D"/>
    <w:rsid w:val="008517F6"/>
    <w:rsid w:val="00851875"/>
    <w:rsid w:val="00852B51"/>
    <w:rsid w:val="00852FED"/>
    <w:rsid w:val="0085528D"/>
    <w:rsid w:val="00856614"/>
    <w:rsid w:val="008568F6"/>
    <w:rsid w:val="0085745F"/>
    <w:rsid w:val="008574AB"/>
    <w:rsid w:val="008614AC"/>
    <w:rsid w:val="00861B5F"/>
    <w:rsid w:val="00863450"/>
    <w:rsid w:val="0086485F"/>
    <w:rsid w:val="0086492B"/>
    <w:rsid w:val="00866B78"/>
    <w:rsid w:val="0086718A"/>
    <w:rsid w:val="0087039F"/>
    <w:rsid w:val="008756F3"/>
    <w:rsid w:val="00876B81"/>
    <w:rsid w:val="00877767"/>
    <w:rsid w:val="00877A6C"/>
    <w:rsid w:val="00877CAE"/>
    <w:rsid w:val="00880A05"/>
    <w:rsid w:val="00880B5F"/>
    <w:rsid w:val="00881652"/>
    <w:rsid w:val="0088171E"/>
    <w:rsid w:val="00882796"/>
    <w:rsid w:val="00883620"/>
    <w:rsid w:val="00883641"/>
    <w:rsid w:val="0088368D"/>
    <w:rsid w:val="00883F7C"/>
    <w:rsid w:val="008849EA"/>
    <w:rsid w:val="00884DF7"/>
    <w:rsid w:val="00885A90"/>
    <w:rsid w:val="008875E9"/>
    <w:rsid w:val="008913CC"/>
    <w:rsid w:val="00892197"/>
    <w:rsid w:val="00893F4D"/>
    <w:rsid w:val="00894947"/>
    <w:rsid w:val="00894A57"/>
    <w:rsid w:val="00895445"/>
    <w:rsid w:val="008962DE"/>
    <w:rsid w:val="008A1651"/>
    <w:rsid w:val="008A1740"/>
    <w:rsid w:val="008A2783"/>
    <w:rsid w:val="008A27A4"/>
    <w:rsid w:val="008A3416"/>
    <w:rsid w:val="008A38E4"/>
    <w:rsid w:val="008A40B8"/>
    <w:rsid w:val="008A4DAF"/>
    <w:rsid w:val="008A5B34"/>
    <w:rsid w:val="008B03AD"/>
    <w:rsid w:val="008B0510"/>
    <w:rsid w:val="008B051E"/>
    <w:rsid w:val="008B2694"/>
    <w:rsid w:val="008B41B3"/>
    <w:rsid w:val="008B50FF"/>
    <w:rsid w:val="008B5751"/>
    <w:rsid w:val="008B5839"/>
    <w:rsid w:val="008B5ED8"/>
    <w:rsid w:val="008B730A"/>
    <w:rsid w:val="008C233E"/>
    <w:rsid w:val="008C2D6E"/>
    <w:rsid w:val="008C3568"/>
    <w:rsid w:val="008C3CCD"/>
    <w:rsid w:val="008C3FC4"/>
    <w:rsid w:val="008C4222"/>
    <w:rsid w:val="008C4A93"/>
    <w:rsid w:val="008C5653"/>
    <w:rsid w:val="008C73FF"/>
    <w:rsid w:val="008C789D"/>
    <w:rsid w:val="008C7EDC"/>
    <w:rsid w:val="008D0F54"/>
    <w:rsid w:val="008D2C72"/>
    <w:rsid w:val="008D2F1B"/>
    <w:rsid w:val="008D3355"/>
    <w:rsid w:val="008D4D7A"/>
    <w:rsid w:val="008D4EC2"/>
    <w:rsid w:val="008D6567"/>
    <w:rsid w:val="008D66E4"/>
    <w:rsid w:val="008D7BFD"/>
    <w:rsid w:val="008E0C83"/>
    <w:rsid w:val="008E49BC"/>
    <w:rsid w:val="008E4BB8"/>
    <w:rsid w:val="008E69AB"/>
    <w:rsid w:val="008E6CA5"/>
    <w:rsid w:val="008F0431"/>
    <w:rsid w:val="008F0464"/>
    <w:rsid w:val="008F1744"/>
    <w:rsid w:val="008F1E07"/>
    <w:rsid w:val="008F20CD"/>
    <w:rsid w:val="008F3204"/>
    <w:rsid w:val="008F3297"/>
    <w:rsid w:val="008F3675"/>
    <w:rsid w:val="008F3708"/>
    <w:rsid w:val="008F51B1"/>
    <w:rsid w:val="008F5295"/>
    <w:rsid w:val="008F52D7"/>
    <w:rsid w:val="008F69FE"/>
    <w:rsid w:val="008F7923"/>
    <w:rsid w:val="00900198"/>
    <w:rsid w:val="00901F78"/>
    <w:rsid w:val="009021B2"/>
    <w:rsid w:val="0090228D"/>
    <w:rsid w:val="00902BB3"/>
    <w:rsid w:val="00902EC8"/>
    <w:rsid w:val="009041AA"/>
    <w:rsid w:val="00904ECC"/>
    <w:rsid w:val="00905AB7"/>
    <w:rsid w:val="009114E6"/>
    <w:rsid w:val="00911A11"/>
    <w:rsid w:val="00912232"/>
    <w:rsid w:val="0091352E"/>
    <w:rsid w:val="00914DE1"/>
    <w:rsid w:val="00917A90"/>
    <w:rsid w:val="0092126F"/>
    <w:rsid w:val="00923ACD"/>
    <w:rsid w:val="00924BA0"/>
    <w:rsid w:val="00926B1A"/>
    <w:rsid w:val="00926C0C"/>
    <w:rsid w:val="009270E0"/>
    <w:rsid w:val="0092725D"/>
    <w:rsid w:val="00931BB5"/>
    <w:rsid w:val="009328E6"/>
    <w:rsid w:val="00932977"/>
    <w:rsid w:val="00933C7F"/>
    <w:rsid w:val="00933E85"/>
    <w:rsid w:val="009366FE"/>
    <w:rsid w:val="009375D7"/>
    <w:rsid w:val="00940688"/>
    <w:rsid w:val="009421B6"/>
    <w:rsid w:val="0094323E"/>
    <w:rsid w:val="00943E37"/>
    <w:rsid w:val="00944C4E"/>
    <w:rsid w:val="00945F48"/>
    <w:rsid w:val="00946326"/>
    <w:rsid w:val="009473CC"/>
    <w:rsid w:val="0095101D"/>
    <w:rsid w:val="00951E38"/>
    <w:rsid w:val="00952BAC"/>
    <w:rsid w:val="00953BAC"/>
    <w:rsid w:val="00953C7F"/>
    <w:rsid w:val="0095405B"/>
    <w:rsid w:val="00954795"/>
    <w:rsid w:val="00954B1C"/>
    <w:rsid w:val="00955056"/>
    <w:rsid w:val="00955299"/>
    <w:rsid w:val="0095785E"/>
    <w:rsid w:val="00957A7C"/>
    <w:rsid w:val="00960165"/>
    <w:rsid w:val="0096137A"/>
    <w:rsid w:val="009615B6"/>
    <w:rsid w:val="0096168F"/>
    <w:rsid w:val="009625F8"/>
    <w:rsid w:val="009627D1"/>
    <w:rsid w:val="00963623"/>
    <w:rsid w:val="00963E02"/>
    <w:rsid w:val="009642FA"/>
    <w:rsid w:val="00964AFB"/>
    <w:rsid w:val="00967CD8"/>
    <w:rsid w:val="009706D1"/>
    <w:rsid w:val="00971FD9"/>
    <w:rsid w:val="00972682"/>
    <w:rsid w:val="0097295E"/>
    <w:rsid w:val="00976656"/>
    <w:rsid w:val="00976B35"/>
    <w:rsid w:val="0098004D"/>
    <w:rsid w:val="00980E48"/>
    <w:rsid w:val="009815BF"/>
    <w:rsid w:val="00981F7E"/>
    <w:rsid w:val="00982827"/>
    <w:rsid w:val="00983D71"/>
    <w:rsid w:val="00983E6D"/>
    <w:rsid w:val="009843F5"/>
    <w:rsid w:val="00984978"/>
    <w:rsid w:val="009906F3"/>
    <w:rsid w:val="009917E0"/>
    <w:rsid w:val="0099216E"/>
    <w:rsid w:val="009925E5"/>
    <w:rsid w:val="0099322A"/>
    <w:rsid w:val="00993E8D"/>
    <w:rsid w:val="00994ADD"/>
    <w:rsid w:val="00995CC0"/>
    <w:rsid w:val="009A01AC"/>
    <w:rsid w:val="009A0BC8"/>
    <w:rsid w:val="009A17B3"/>
    <w:rsid w:val="009A2885"/>
    <w:rsid w:val="009A4691"/>
    <w:rsid w:val="009A4873"/>
    <w:rsid w:val="009A4A1F"/>
    <w:rsid w:val="009A51CA"/>
    <w:rsid w:val="009A6ADE"/>
    <w:rsid w:val="009A7329"/>
    <w:rsid w:val="009A7B22"/>
    <w:rsid w:val="009B0084"/>
    <w:rsid w:val="009B3028"/>
    <w:rsid w:val="009B428F"/>
    <w:rsid w:val="009B455A"/>
    <w:rsid w:val="009B4BC6"/>
    <w:rsid w:val="009B5647"/>
    <w:rsid w:val="009B6640"/>
    <w:rsid w:val="009B68BF"/>
    <w:rsid w:val="009C05F3"/>
    <w:rsid w:val="009C2520"/>
    <w:rsid w:val="009C3114"/>
    <w:rsid w:val="009C3D45"/>
    <w:rsid w:val="009C3FA8"/>
    <w:rsid w:val="009C5265"/>
    <w:rsid w:val="009C65DD"/>
    <w:rsid w:val="009C6B13"/>
    <w:rsid w:val="009C6EA5"/>
    <w:rsid w:val="009C713B"/>
    <w:rsid w:val="009D0D7B"/>
    <w:rsid w:val="009D1ACA"/>
    <w:rsid w:val="009D23F1"/>
    <w:rsid w:val="009D2AA7"/>
    <w:rsid w:val="009D2D29"/>
    <w:rsid w:val="009D3486"/>
    <w:rsid w:val="009D3629"/>
    <w:rsid w:val="009D401A"/>
    <w:rsid w:val="009D49A2"/>
    <w:rsid w:val="009D4D35"/>
    <w:rsid w:val="009D59C6"/>
    <w:rsid w:val="009D6DC2"/>
    <w:rsid w:val="009D7F85"/>
    <w:rsid w:val="009E3C43"/>
    <w:rsid w:val="009E3D79"/>
    <w:rsid w:val="009E4F06"/>
    <w:rsid w:val="009E4F9A"/>
    <w:rsid w:val="009E5573"/>
    <w:rsid w:val="009E61B5"/>
    <w:rsid w:val="009E62F3"/>
    <w:rsid w:val="009E6C1C"/>
    <w:rsid w:val="009F0B11"/>
    <w:rsid w:val="009F0EDD"/>
    <w:rsid w:val="009F23CB"/>
    <w:rsid w:val="009F2CF2"/>
    <w:rsid w:val="009F2EDA"/>
    <w:rsid w:val="009F4D1F"/>
    <w:rsid w:val="009F4E4A"/>
    <w:rsid w:val="009F5995"/>
    <w:rsid w:val="009F65FD"/>
    <w:rsid w:val="009F6D00"/>
    <w:rsid w:val="009F7097"/>
    <w:rsid w:val="009F71F8"/>
    <w:rsid w:val="00A00EE7"/>
    <w:rsid w:val="00A01E61"/>
    <w:rsid w:val="00A01FB7"/>
    <w:rsid w:val="00A036F4"/>
    <w:rsid w:val="00A0566F"/>
    <w:rsid w:val="00A0638E"/>
    <w:rsid w:val="00A06B2D"/>
    <w:rsid w:val="00A07539"/>
    <w:rsid w:val="00A0778A"/>
    <w:rsid w:val="00A07F73"/>
    <w:rsid w:val="00A120F6"/>
    <w:rsid w:val="00A13CDD"/>
    <w:rsid w:val="00A142C8"/>
    <w:rsid w:val="00A16BE0"/>
    <w:rsid w:val="00A177CA"/>
    <w:rsid w:val="00A178FE"/>
    <w:rsid w:val="00A21F06"/>
    <w:rsid w:val="00A230E5"/>
    <w:rsid w:val="00A235CF"/>
    <w:rsid w:val="00A236D7"/>
    <w:rsid w:val="00A237EA"/>
    <w:rsid w:val="00A23FF5"/>
    <w:rsid w:val="00A25EFC"/>
    <w:rsid w:val="00A25F5B"/>
    <w:rsid w:val="00A262B2"/>
    <w:rsid w:val="00A26C64"/>
    <w:rsid w:val="00A2784C"/>
    <w:rsid w:val="00A27CA2"/>
    <w:rsid w:val="00A303F3"/>
    <w:rsid w:val="00A30702"/>
    <w:rsid w:val="00A30FD5"/>
    <w:rsid w:val="00A31E34"/>
    <w:rsid w:val="00A33765"/>
    <w:rsid w:val="00A34F42"/>
    <w:rsid w:val="00A366DC"/>
    <w:rsid w:val="00A36DD4"/>
    <w:rsid w:val="00A43883"/>
    <w:rsid w:val="00A43D98"/>
    <w:rsid w:val="00A44568"/>
    <w:rsid w:val="00A44837"/>
    <w:rsid w:val="00A45E9E"/>
    <w:rsid w:val="00A47BFB"/>
    <w:rsid w:val="00A50B05"/>
    <w:rsid w:val="00A50B7C"/>
    <w:rsid w:val="00A5129C"/>
    <w:rsid w:val="00A51D4C"/>
    <w:rsid w:val="00A528AC"/>
    <w:rsid w:val="00A540B7"/>
    <w:rsid w:val="00A559BC"/>
    <w:rsid w:val="00A55C6C"/>
    <w:rsid w:val="00A55ECB"/>
    <w:rsid w:val="00A569B1"/>
    <w:rsid w:val="00A56E42"/>
    <w:rsid w:val="00A60B7B"/>
    <w:rsid w:val="00A63F6E"/>
    <w:rsid w:val="00A670BE"/>
    <w:rsid w:val="00A70E51"/>
    <w:rsid w:val="00A713FF"/>
    <w:rsid w:val="00A72FB6"/>
    <w:rsid w:val="00A74E1A"/>
    <w:rsid w:val="00A75637"/>
    <w:rsid w:val="00A77ABB"/>
    <w:rsid w:val="00A80C68"/>
    <w:rsid w:val="00A80D0D"/>
    <w:rsid w:val="00A80E07"/>
    <w:rsid w:val="00A810A2"/>
    <w:rsid w:val="00A81437"/>
    <w:rsid w:val="00A832FE"/>
    <w:rsid w:val="00A8674B"/>
    <w:rsid w:val="00A87087"/>
    <w:rsid w:val="00A87507"/>
    <w:rsid w:val="00A87929"/>
    <w:rsid w:val="00A90BA1"/>
    <w:rsid w:val="00A91748"/>
    <w:rsid w:val="00A940CD"/>
    <w:rsid w:val="00A9474D"/>
    <w:rsid w:val="00A94E58"/>
    <w:rsid w:val="00A9678B"/>
    <w:rsid w:val="00AA0315"/>
    <w:rsid w:val="00AA0792"/>
    <w:rsid w:val="00AA0CDB"/>
    <w:rsid w:val="00AA1375"/>
    <w:rsid w:val="00AA2123"/>
    <w:rsid w:val="00AA28D7"/>
    <w:rsid w:val="00AA2BA4"/>
    <w:rsid w:val="00AA42DA"/>
    <w:rsid w:val="00AA4E7F"/>
    <w:rsid w:val="00AA6F18"/>
    <w:rsid w:val="00AA6F71"/>
    <w:rsid w:val="00AA72F2"/>
    <w:rsid w:val="00AB11E8"/>
    <w:rsid w:val="00AB1A48"/>
    <w:rsid w:val="00AB1E0E"/>
    <w:rsid w:val="00AB219A"/>
    <w:rsid w:val="00AB254E"/>
    <w:rsid w:val="00AB51EF"/>
    <w:rsid w:val="00AB5B5B"/>
    <w:rsid w:val="00AB6BD3"/>
    <w:rsid w:val="00AB766A"/>
    <w:rsid w:val="00AB7871"/>
    <w:rsid w:val="00AB7B0C"/>
    <w:rsid w:val="00AB7C18"/>
    <w:rsid w:val="00AC2850"/>
    <w:rsid w:val="00AC2A26"/>
    <w:rsid w:val="00AC3409"/>
    <w:rsid w:val="00AC353B"/>
    <w:rsid w:val="00AC46AA"/>
    <w:rsid w:val="00AC4E7C"/>
    <w:rsid w:val="00AC5152"/>
    <w:rsid w:val="00AC639F"/>
    <w:rsid w:val="00AC6B75"/>
    <w:rsid w:val="00AC6E14"/>
    <w:rsid w:val="00AD02BA"/>
    <w:rsid w:val="00AD0EA2"/>
    <w:rsid w:val="00AD18A8"/>
    <w:rsid w:val="00AD193D"/>
    <w:rsid w:val="00AD3707"/>
    <w:rsid w:val="00AD394F"/>
    <w:rsid w:val="00AD458C"/>
    <w:rsid w:val="00AD4890"/>
    <w:rsid w:val="00AD4AB2"/>
    <w:rsid w:val="00AD4F56"/>
    <w:rsid w:val="00AD5BFA"/>
    <w:rsid w:val="00AD6835"/>
    <w:rsid w:val="00AD6C46"/>
    <w:rsid w:val="00AD7512"/>
    <w:rsid w:val="00AD7AFD"/>
    <w:rsid w:val="00AE0615"/>
    <w:rsid w:val="00AE1BA3"/>
    <w:rsid w:val="00AE3021"/>
    <w:rsid w:val="00AE30E4"/>
    <w:rsid w:val="00AE3AB8"/>
    <w:rsid w:val="00AE4AEB"/>
    <w:rsid w:val="00AE71F0"/>
    <w:rsid w:val="00AF100A"/>
    <w:rsid w:val="00AF35F5"/>
    <w:rsid w:val="00AF37D2"/>
    <w:rsid w:val="00AF38D9"/>
    <w:rsid w:val="00AF4A01"/>
    <w:rsid w:val="00AF61E0"/>
    <w:rsid w:val="00AF7789"/>
    <w:rsid w:val="00B0083D"/>
    <w:rsid w:val="00B00A93"/>
    <w:rsid w:val="00B0291B"/>
    <w:rsid w:val="00B02ABF"/>
    <w:rsid w:val="00B02C51"/>
    <w:rsid w:val="00B03B33"/>
    <w:rsid w:val="00B043D6"/>
    <w:rsid w:val="00B04C1B"/>
    <w:rsid w:val="00B0751B"/>
    <w:rsid w:val="00B10159"/>
    <w:rsid w:val="00B122C2"/>
    <w:rsid w:val="00B13FF2"/>
    <w:rsid w:val="00B14455"/>
    <w:rsid w:val="00B15351"/>
    <w:rsid w:val="00B153EC"/>
    <w:rsid w:val="00B15A6B"/>
    <w:rsid w:val="00B15F44"/>
    <w:rsid w:val="00B16548"/>
    <w:rsid w:val="00B17994"/>
    <w:rsid w:val="00B22095"/>
    <w:rsid w:val="00B2323E"/>
    <w:rsid w:val="00B25B14"/>
    <w:rsid w:val="00B26468"/>
    <w:rsid w:val="00B26C5B"/>
    <w:rsid w:val="00B27092"/>
    <w:rsid w:val="00B27421"/>
    <w:rsid w:val="00B27A4B"/>
    <w:rsid w:val="00B306FD"/>
    <w:rsid w:val="00B30EE3"/>
    <w:rsid w:val="00B312B5"/>
    <w:rsid w:val="00B31E2D"/>
    <w:rsid w:val="00B32A40"/>
    <w:rsid w:val="00B33293"/>
    <w:rsid w:val="00B34F44"/>
    <w:rsid w:val="00B35C4E"/>
    <w:rsid w:val="00B36087"/>
    <w:rsid w:val="00B362BB"/>
    <w:rsid w:val="00B370E6"/>
    <w:rsid w:val="00B3747C"/>
    <w:rsid w:val="00B37527"/>
    <w:rsid w:val="00B37666"/>
    <w:rsid w:val="00B37CF2"/>
    <w:rsid w:val="00B37EB8"/>
    <w:rsid w:val="00B40A86"/>
    <w:rsid w:val="00B41BE9"/>
    <w:rsid w:val="00B430F8"/>
    <w:rsid w:val="00B432A8"/>
    <w:rsid w:val="00B451E3"/>
    <w:rsid w:val="00B473C4"/>
    <w:rsid w:val="00B47C75"/>
    <w:rsid w:val="00B51215"/>
    <w:rsid w:val="00B520D0"/>
    <w:rsid w:val="00B527E3"/>
    <w:rsid w:val="00B53237"/>
    <w:rsid w:val="00B537C3"/>
    <w:rsid w:val="00B53DDA"/>
    <w:rsid w:val="00B5595D"/>
    <w:rsid w:val="00B55FB3"/>
    <w:rsid w:val="00B5732E"/>
    <w:rsid w:val="00B577C8"/>
    <w:rsid w:val="00B577CB"/>
    <w:rsid w:val="00B57C39"/>
    <w:rsid w:val="00B618AC"/>
    <w:rsid w:val="00B61E8F"/>
    <w:rsid w:val="00B62585"/>
    <w:rsid w:val="00B62F0C"/>
    <w:rsid w:val="00B63513"/>
    <w:rsid w:val="00B63C17"/>
    <w:rsid w:val="00B641DE"/>
    <w:rsid w:val="00B64CBF"/>
    <w:rsid w:val="00B65323"/>
    <w:rsid w:val="00B665F0"/>
    <w:rsid w:val="00B700A5"/>
    <w:rsid w:val="00B7144E"/>
    <w:rsid w:val="00B71502"/>
    <w:rsid w:val="00B747F8"/>
    <w:rsid w:val="00B7701C"/>
    <w:rsid w:val="00B77042"/>
    <w:rsid w:val="00B77B44"/>
    <w:rsid w:val="00B804E7"/>
    <w:rsid w:val="00B812F7"/>
    <w:rsid w:val="00B81E9B"/>
    <w:rsid w:val="00B81EEE"/>
    <w:rsid w:val="00B826CB"/>
    <w:rsid w:val="00B8273A"/>
    <w:rsid w:val="00B82B7D"/>
    <w:rsid w:val="00B85C1D"/>
    <w:rsid w:val="00B8737E"/>
    <w:rsid w:val="00B9045E"/>
    <w:rsid w:val="00B929EE"/>
    <w:rsid w:val="00B92C7A"/>
    <w:rsid w:val="00B94725"/>
    <w:rsid w:val="00B9777D"/>
    <w:rsid w:val="00B97E7C"/>
    <w:rsid w:val="00BA18D0"/>
    <w:rsid w:val="00BA3936"/>
    <w:rsid w:val="00BA6E7D"/>
    <w:rsid w:val="00BA79D8"/>
    <w:rsid w:val="00BB3611"/>
    <w:rsid w:val="00BB6614"/>
    <w:rsid w:val="00BB74FF"/>
    <w:rsid w:val="00BB79BA"/>
    <w:rsid w:val="00BB7EDE"/>
    <w:rsid w:val="00BC05B5"/>
    <w:rsid w:val="00BC0DE6"/>
    <w:rsid w:val="00BC3992"/>
    <w:rsid w:val="00BC5849"/>
    <w:rsid w:val="00BC6466"/>
    <w:rsid w:val="00BC6E75"/>
    <w:rsid w:val="00BC7EB8"/>
    <w:rsid w:val="00BC7FE7"/>
    <w:rsid w:val="00BD0A12"/>
    <w:rsid w:val="00BD1003"/>
    <w:rsid w:val="00BD3DE5"/>
    <w:rsid w:val="00BD4C76"/>
    <w:rsid w:val="00BD5D05"/>
    <w:rsid w:val="00BD65BC"/>
    <w:rsid w:val="00BD6CE7"/>
    <w:rsid w:val="00BE0B11"/>
    <w:rsid w:val="00BE1A8B"/>
    <w:rsid w:val="00BE2071"/>
    <w:rsid w:val="00BE28D4"/>
    <w:rsid w:val="00BE41A2"/>
    <w:rsid w:val="00BE4E91"/>
    <w:rsid w:val="00BE5FE2"/>
    <w:rsid w:val="00BE7032"/>
    <w:rsid w:val="00BF009A"/>
    <w:rsid w:val="00BF1557"/>
    <w:rsid w:val="00BF1DEC"/>
    <w:rsid w:val="00BF35EC"/>
    <w:rsid w:val="00BF46D4"/>
    <w:rsid w:val="00BF49B5"/>
    <w:rsid w:val="00BF4C04"/>
    <w:rsid w:val="00BF5669"/>
    <w:rsid w:val="00BF56BB"/>
    <w:rsid w:val="00BF5B7D"/>
    <w:rsid w:val="00BF754A"/>
    <w:rsid w:val="00C00B48"/>
    <w:rsid w:val="00C01753"/>
    <w:rsid w:val="00C0370C"/>
    <w:rsid w:val="00C0391B"/>
    <w:rsid w:val="00C03C39"/>
    <w:rsid w:val="00C0526A"/>
    <w:rsid w:val="00C06D65"/>
    <w:rsid w:val="00C06FD7"/>
    <w:rsid w:val="00C0717D"/>
    <w:rsid w:val="00C1009D"/>
    <w:rsid w:val="00C10DAA"/>
    <w:rsid w:val="00C113BE"/>
    <w:rsid w:val="00C115F2"/>
    <w:rsid w:val="00C1307B"/>
    <w:rsid w:val="00C1345D"/>
    <w:rsid w:val="00C1448B"/>
    <w:rsid w:val="00C1552E"/>
    <w:rsid w:val="00C162F5"/>
    <w:rsid w:val="00C16D34"/>
    <w:rsid w:val="00C1752E"/>
    <w:rsid w:val="00C1773D"/>
    <w:rsid w:val="00C17957"/>
    <w:rsid w:val="00C17CE2"/>
    <w:rsid w:val="00C214C1"/>
    <w:rsid w:val="00C21DB2"/>
    <w:rsid w:val="00C23764"/>
    <w:rsid w:val="00C23F3F"/>
    <w:rsid w:val="00C24FF1"/>
    <w:rsid w:val="00C25399"/>
    <w:rsid w:val="00C25734"/>
    <w:rsid w:val="00C25D4B"/>
    <w:rsid w:val="00C268B2"/>
    <w:rsid w:val="00C273D1"/>
    <w:rsid w:val="00C32BC4"/>
    <w:rsid w:val="00C339E5"/>
    <w:rsid w:val="00C33D54"/>
    <w:rsid w:val="00C368D5"/>
    <w:rsid w:val="00C36A88"/>
    <w:rsid w:val="00C36B52"/>
    <w:rsid w:val="00C4133B"/>
    <w:rsid w:val="00C41E39"/>
    <w:rsid w:val="00C4230E"/>
    <w:rsid w:val="00C4234F"/>
    <w:rsid w:val="00C4257C"/>
    <w:rsid w:val="00C42877"/>
    <w:rsid w:val="00C43A56"/>
    <w:rsid w:val="00C44259"/>
    <w:rsid w:val="00C4425C"/>
    <w:rsid w:val="00C44FBE"/>
    <w:rsid w:val="00C44FF0"/>
    <w:rsid w:val="00C46867"/>
    <w:rsid w:val="00C47914"/>
    <w:rsid w:val="00C5114A"/>
    <w:rsid w:val="00C51768"/>
    <w:rsid w:val="00C52026"/>
    <w:rsid w:val="00C53092"/>
    <w:rsid w:val="00C53E8F"/>
    <w:rsid w:val="00C54724"/>
    <w:rsid w:val="00C55E9B"/>
    <w:rsid w:val="00C5621D"/>
    <w:rsid w:val="00C563AD"/>
    <w:rsid w:val="00C56A8E"/>
    <w:rsid w:val="00C60DFB"/>
    <w:rsid w:val="00C624CF"/>
    <w:rsid w:val="00C62793"/>
    <w:rsid w:val="00C62F6D"/>
    <w:rsid w:val="00C633FC"/>
    <w:rsid w:val="00C63DBE"/>
    <w:rsid w:val="00C64902"/>
    <w:rsid w:val="00C6709C"/>
    <w:rsid w:val="00C709D3"/>
    <w:rsid w:val="00C70D10"/>
    <w:rsid w:val="00C70F42"/>
    <w:rsid w:val="00C7100F"/>
    <w:rsid w:val="00C713A9"/>
    <w:rsid w:val="00C734E9"/>
    <w:rsid w:val="00C73D91"/>
    <w:rsid w:val="00C76796"/>
    <w:rsid w:val="00C778DD"/>
    <w:rsid w:val="00C808D8"/>
    <w:rsid w:val="00C80927"/>
    <w:rsid w:val="00C80F16"/>
    <w:rsid w:val="00C81752"/>
    <w:rsid w:val="00C820B7"/>
    <w:rsid w:val="00C82393"/>
    <w:rsid w:val="00C830E9"/>
    <w:rsid w:val="00C834D1"/>
    <w:rsid w:val="00C843CB"/>
    <w:rsid w:val="00C86063"/>
    <w:rsid w:val="00C873B5"/>
    <w:rsid w:val="00C903C5"/>
    <w:rsid w:val="00C906C0"/>
    <w:rsid w:val="00C931BC"/>
    <w:rsid w:val="00C93358"/>
    <w:rsid w:val="00C93D82"/>
    <w:rsid w:val="00C9412C"/>
    <w:rsid w:val="00C94788"/>
    <w:rsid w:val="00C95371"/>
    <w:rsid w:val="00C95682"/>
    <w:rsid w:val="00C95BA9"/>
    <w:rsid w:val="00C95C4C"/>
    <w:rsid w:val="00C960F8"/>
    <w:rsid w:val="00C97BBD"/>
    <w:rsid w:val="00CA0466"/>
    <w:rsid w:val="00CA0BA8"/>
    <w:rsid w:val="00CA0FBE"/>
    <w:rsid w:val="00CA3396"/>
    <w:rsid w:val="00CA4652"/>
    <w:rsid w:val="00CA70FC"/>
    <w:rsid w:val="00CB1177"/>
    <w:rsid w:val="00CB5AC9"/>
    <w:rsid w:val="00CB61DB"/>
    <w:rsid w:val="00CB622E"/>
    <w:rsid w:val="00CB638B"/>
    <w:rsid w:val="00CB79B7"/>
    <w:rsid w:val="00CC29E2"/>
    <w:rsid w:val="00CC33A4"/>
    <w:rsid w:val="00CC64EB"/>
    <w:rsid w:val="00CC6B14"/>
    <w:rsid w:val="00CD0144"/>
    <w:rsid w:val="00CD214D"/>
    <w:rsid w:val="00CD3BCB"/>
    <w:rsid w:val="00CD3FF4"/>
    <w:rsid w:val="00CD503B"/>
    <w:rsid w:val="00CD5130"/>
    <w:rsid w:val="00CD5CB0"/>
    <w:rsid w:val="00CD690B"/>
    <w:rsid w:val="00CD690E"/>
    <w:rsid w:val="00CD729E"/>
    <w:rsid w:val="00CD7C0B"/>
    <w:rsid w:val="00CE0A27"/>
    <w:rsid w:val="00CE0BAD"/>
    <w:rsid w:val="00CE10B0"/>
    <w:rsid w:val="00CE1AF0"/>
    <w:rsid w:val="00CE2C80"/>
    <w:rsid w:val="00CE40AB"/>
    <w:rsid w:val="00CE413A"/>
    <w:rsid w:val="00CE49FA"/>
    <w:rsid w:val="00CE5A97"/>
    <w:rsid w:val="00CE5B64"/>
    <w:rsid w:val="00CE67C5"/>
    <w:rsid w:val="00CE7845"/>
    <w:rsid w:val="00CE7C1E"/>
    <w:rsid w:val="00CE7D43"/>
    <w:rsid w:val="00CF06AE"/>
    <w:rsid w:val="00CF0932"/>
    <w:rsid w:val="00CF0E77"/>
    <w:rsid w:val="00CF1852"/>
    <w:rsid w:val="00CF1B73"/>
    <w:rsid w:val="00CF30F0"/>
    <w:rsid w:val="00CF41D3"/>
    <w:rsid w:val="00CF688C"/>
    <w:rsid w:val="00CF7C50"/>
    <w:rsid w:val="00D02A91"/>
    <w:rsid w:val="00D03608"/>
    <w:rsid w:val="00D03D88"/>
    <w:rsid w:val="00D04087"/>
    <w:rsid w:val="00D04B0A"/>
    <w:rsid w:val="00D04EB8"/>
    <w:rsid w:val="00D0532C"/>
    <w:rsid w:val="00D06261"/>
    <w:rsid w:val="00D06F27"/>
    <w:rsid w:val="00D11CF6"/>
    <w:rsid w:val="00D13F34"/>
    <w:rsid w:val="00D1470B"/>
    <w:rsid w:val="00D14CB4"/>
    <w:rsid w:val="00D156A3"/>
    <w:rsid w:val="00D17F51"/>
    <w:rsid w:val="00D20625"/>
    <w:rsid w:val="00D2247B"/>
    <w:rsid w:val="00D23953"/>
    <w:rsid w:val="00D24CE4"/>
    <w:rsid w:val="00D25906"/>
    <w:rsid w:val="00D25CE3"/>
    <w:rsid w:val="00D25FFF"/>
    <w:rsid w:val="00D26285"/>
    <w:rsid w:val="00D263D2"/>
    <w:rsid w:val="00D26A7C"/>
    <w:rsid w:val="00D27C73"/>
    <w:rsid w:val="00D3009F"/>
    <w:rsid w:val="00D30E8C"/>
    <w:rsid w:val="00D32395"/>
    <w:rsid w:val="00D33742"/>
    <w:rsid w:val="00D33C42"/>
    <w:rsid w:val="00D358B7"/>
    <w:rsid w:val="00D35943"/>
    <w:rsid w:val="00D375AE"/>
    <w:rsid w:val="00D37A46"/>
    <w:rsid w:val="00D37DC1"/>
    <w:rsid w:val="00D37F14"/>
    <w:rsid w:val="00D40445"/>
    <w:rsid w:val="00D4161F"/>
    <w:rsid w:val="00D41B4F"/>
    <w:rsid w:val="00D450CC"/>
    <w:rsid w:val="00D45862"/>
    <w:rsid w:val="00D45CB6"/>
    <w:rsid w:val="00D45EBB"/>
    <w:rsid w:val="00D460C7"/>
    <w:rsid w:val="00D4632D"/>
    <w:rsid w:val="00D47425"/>
    <w:rsid w:val="00D47D05"/>
    <w:rsid w:val="00D50084"/>
    <w:rsid w:val="00D511D4"/>
    <w:rsid w:val="00D513C7"/>
    <w:rsid w:val="00D5324F"/>
    <w:rsid w:val="00D53A2A"/>
    <w:rsid w:val="00D55717"/>
    <w:rsid w:val="00D55E85"/>
    <w:rsid w:val="00D575EE"/>
    <w:rsid w:val="00D57AE7"/>
    <w:rsid w:val="00D6031E"/>
    <w:rsid w:val="00D61155"/>
    <w:rsid w:val="00D61608"/>
    <w:rsid w:val="00D6253E"/>
    <w:rsid w:val="00D627CB"/>
    <w:rsid w:val="00D62A6E"/>
    <w:rsid w:val="00D62D79"/>
    <w:rsid w:val="00D6401E"/>
    <w:rsid w:val="00D6417D"/>
    <w:rsid w:val="00D657C2"/>
    <w:rsid w:val="00D65889"/>
    <w:rsid w:val="00D660D2"/>
    <w:rsid w:val="00D66D75"/>
    <w:rsid w:val="00D66E5B"/>
    <w:rsid w:val="00D71E86"/>
    <w:rsid w:val="00D738D9"/>
    <w:rsid w:val="00D7466F"/>
    <w:rsid w:val="00D74694"/>
    <w:rsid w:val="00D757B4"/>
    <w:rsid w:val="00D75D77"/>
    <w:rsid w:val="00D75E2E"/>
    <w:rsid w:val="00D77E99"/>
    <w:rsid w:val="00D807B8"/>
    <w:rsid w:val="00D80F88"/>
    <w:rsid w:val="00D81033"/>
    <w:rsid w:val="00D83845"/>
    <w:rsid w:val="00D83D2D"/>
    <w:rsid w:val="00D85A2B"/>
    <w:rsid w:val="00D91896"/>
    <w:rsid w:val="00D9287A"/>
    <w:rsid w:val="00D928C2"/>
    <w:rsid w:val="00D9325F"/>
    <w:rsid w:val="00D94405"/>
    <w:rsid w:val="00D94ECB"/>
    <w:rsid w:val="00D973D7"/>
    <w:rsid w:val="00DA03FB"/>
    <w:rsid w:val="00DA0653"/>
    <w:rsid w:val="00DA0C9B"/>
    <w:rsid w:val="00DA2911"/>
    <w:rsid w:val="00DA2B26"/>
    <w:rsid w:val="00DA5634"/>
    <w:rsid w:val="00DA59E4"/>
    <w:rsid w:val="00DA7240"/>
    <w:rsid w:val="00DB18BC"/>
    <w:rsid w:val="00DB1B1B"/>
    <w:rsid w:val="00DB2563"/>
    <w:rsid w:val="00DB46FF"/>
    <w:rsid w:val="00DB5679"/>
    <w:rsid w:val="00DB7611"/>
    <w:rsid w:val="00DC097F"/>
    <w:rsid w:val="00DC2929"/>
    <w:rsid w:val="00DC3EEF"/>
    <w:rsid w:val="00DC4E49"/>
    <w:rsid w:val="00DC4E9E"/>
    <w:rsid w:val="00DC65F4"/>
    <w:rsid w:val="00DC6D0A"/>
    <w:rsid w:val="00DC7302"/>
    <w:rsid w:val="00DD0272"/>
    <w:rsid w:val="00DD0733"/>
    <w:rsid w:val="00DD0D0B"/>
    <w:rsid w:val="00DD2D0E"/>
    <w:rsid w:val="00DD3992"/>
    <w:rsid w:val="00DD3C3C"/>
    <w:rsid w:val="00DD5CB8"/>
    <w:rsid w:val="00DD7824"/>
    <w:rsid w:val="00DE00BB"/>
    <w:rsid w:val="00DE0B91"/>
    <w:rsid w:val="00DE0EEB"/>
    <w:rsid w:val="00DE4FCB"/>
    <w:rsid w:val="00DE52A6"/>
    <w:rsid w:val="00DE61D5"/>
    <w:rsid w:val="00DE737A"/>
    <w:rsid w:val="00DE7930"/>
    <w:rsid w:val="00DF0DE3"/>
    <w:rsid w:val="00DF198C"/>
    <w:rsid w:val="00DF2269"/>
    <w:rsid w:val="00DF27FD"/>
    <w:rsid w:val="00DF4307"/>
    <w:rsid w:val="00DF4DAB"/>
    <w:rsid w:val="00DF5702"/>
    <w:rsid w:val="00DF5707"/>
    <w:rsid w:val="00DF79CC"/>
    <w:rsid w:val="00E00186"/>
    <w:rsid w:val="00E008E0"/>
    <w:rsid w:val="00E0101E"/>
    <w:rsid w:val="00E01E75"/>
    <w:rsid w:val="00E020D2"/>
    <w:rsid w:val="00E02C42"/>
    <w:rsid w:val="00E0409B"/>
    <w:rsid w:val="00E0493B"/>
    <w:rsid w:val="00E0501D"/>
    <w:rsid w:val="00E054A5"/>
    <w:rsid w:val="00E05C5C"/>
    <w:rsid w:val="00E10058"/>
    <w:rsid w:val="00E10F13"/>
    <w:rsid w:val="00E1311A"/>
    <w:rsid w:val="00E1353E"/>
    <w:rsid w:val="00E135E6"/>
    <w:rsid w:val="00E16377"/>
    <w:rsid w:val="00E17266"/>
    <w:rsid w:val="00E17730"/>
    <w:rsid w:val="00E205FD"/>
    <w:rsid w:val="00E208D3"/>
    <w:rsid w:val="00E20E47"/>
    <w:rsid w:val="00E213BC"/>
    <w:rsid w:val="00E21717"/>
    <w:rsid w:val="00E24D0F"/>
    <w:rsid w:val="00E2770F"/>
    <w:rsid w:val="00E302E3"/>
    <w:rsid w:val="00E30D18"/>
    <w:rsid w:val="00E32450"/>
    <w:rsid w:val="00E33503"/>
    <w:rsid w:val="00E34134"/>
    <w:rsid w:val="00E357BE"/>
    <w:rsid w:val="00E3583D"/>
    <w:rsid w:val="00E35F9C"/>
    <w:rsid w:val="00E36B6D"/>
    <w:rsid w:val="00E370D2"/>
    <w:rsid w:val="00E41854"/>
    <w:rsid w:val="00E41BBE"/>
    <w:rsid w:val="00E430B6"/>
    <w:rsid w:val="00E432F8"/>
    <w:rsid w:val="00E43E37"/>
    <w:rsid w:val="00E45689"/>
    <w:rsid w:val="00E45BE0"/>
    <w:rsid w:val="00E46526"/>
    <w:rsid w:val="00E46C00"/>
    <w:rsid w:val="00E47442"/>
    <w:rsid w:val="00E47B90"/>
    <w:rsid w:val="00E47CC5"/>
    <w:rsid w:val="00E50826"/>
    <w:rsid w:val="00E510CE"/>
    <w:rsid w:val="00E520CE"/>
    <w:rsid w:val="00E529BF"/>
    <w:rsid w:val="00E52A78"/>
    <w:rsid w:val="00E52F6F"/>
    <w:rsid w:val="00E532D4"/>
    <w:rsid w:val="00E54EBC"/>
    <w:rsid w:val="00E5696F"/>
    <w:rsid w:val="00E621FD"/>
    <w:rsid w:val="00E6471E"/>
    <w:rsid w:val="00E64D25"/>
    <w:rsid w:val="00E65464"/>
    <w:rsid w:val="00E654FF"/>
    <w:rsid w:val="00E74451"/>
    <w:rsid w:val="00E744BD"/>
    <w:rsid w:val="00E7556D"/>
    <w:rsid w:val="00E756FA"/>
    <w:rsid w:val="00E75E2A"/>
    <w:rsid w:val="00E770AB"/>
    <w:rsid w:val="00E81C28"/>
    <w:rsid w:val="00E81F18"/>
    <w:rsid w:val="00E84CC6"/>
    <w:rsid w:val="00E85016"/>
    <w:rsid w:val="00E85604"/>
    <w:rsid w:val="00E85ED0"/>
    <w:rsid w:val="00E870DE"/>
    <w:rsid w:val="00E915B3"/>
    <w:rsid w:val="00E920F8"/>
    <w:rsid w:val="00E93B4F"/>
    <w:rsid w:val="00E93B6D"/>
    <w:rsid w:val="00E93CF8"/>
    <w:rsid w:val="00E94225"/>
    <w:rsid w:val="00E94DD1"/>
    <w:rsid w:val="00E95CDE"/>
    <w:rsid w:val="00E95E14"/>
    <w:rsid w:val="00E96895"/>
    <w:rsid w:val="00E97A26"/>
    <w:rsid w:val="00EA00AF"/>
    <w:rsid w:val="00EA027F"/>
    <w:rsid w:val="00EA1375"/>
    <w:rsid w:val="00EA236B"/>
    <w:rsid w:val="00EA3331"/>
    <w:rsid w:val="00EA4356"/>
    <w:rsid w:val="00EA43E3"/>
    <w:rsid w:val="00EA4658"/>
    <w:rsid w:val="00EA4D55"/>
    <w:rsid w:val="00EA4DAC"/>
    <w:rsid w:val="00EA63D8"/>
    <w:rsid w:val="00EB0FA8"/>
    <w:rsid w:val="00EB24D7"/>
    <w:rsid w:val="00EB2B86"/>
    <w:rsid w:val="00EB2EA3"/>
    <w:rsid w:val="00EB32B3"/>
    <w:rsid w:val="00EB3536"/>
    <w:rsid w:val="00EB47FA"/>
    <w:rsid w:val="00EB4E81"/>
    <w:rsid w:val="00EB53B9"/>
    <w:rsid w:val="00EB555C"/>
    <w:rsid w:val="00EB643C"/>
    <w:rsid w:val="00EB6F16"/>
    <w:rsid w:val="00EB6F83"/>
    <w:rsid w:val="00EC019B"/>
    <w:rsid w:val="00EC04F6"/>
    <w:rsid w:val="00EC0894"/>
    <w:rsid w:val="00EC10F7"/>
    <w:rsid w:val="00EC1BC6"/>
    <w:rsid w:val="00EC4B64"/>
    <w:rsid w:val="00EC7092"/>
    <w:rsid w:val="00EC74A2"/>
    <w:rsid w:val="00ED0C99"/>
    <w:rsid w:val="00ED0FE9"/>
    <w:rsid w:val="00ED13BD"/>
    <w:rsid w:val="00ED151B"/>
    <w:rsid w:val="00ED2431"/>
    <w:rsid w:val="00ED25B5"/>
    <w:rsid w:val="00ED2869"/>
    <w:rsid w:val="00ED2F66"/>
    <w:rsid w:val="00ED333F"/>
    <w:rsid w:val="00ED3CAA"/>
    <w:rsid w:val="00ED527B"/>
    <w:rsid w:val="00ED5892"/>
    <w:rsid w:val="00ED66EF"/>
    <w:rsid w:val="00ED7AF4"/>
    <w:rsid w:val="00EE066C"/>
    <w:rsid w:val="00EE33BC"/>
    <w:rsid w:val="00EE5EBB"/>
    <w:rsid w:val="00EE7703"/>
    <w:rsid w:val="00EF1FE4"/>
    <w:rsid w:val="00EF3546"/>
    <w:rsid w:val="00EF374D"/>
    <w:rsid w:val="00EF4022"/>
    <w:rsid w:val="00EF41DA"/>
    <w:rsid w:val="00EF427B"/>
    <w:rsid w:val="00EF46A6"/>
    <w:rsid w:val="00EF4CBF"/>
    <w:rsid w:val="00EF4F58"/>
    <w:rsid w:val="00EF5ECC"/>
    <w:rsid w:val="00EF6A4A"/>
    <w:rsid w:val="00EF6F46"/>
    <w:rsid w:val="00F01051"/>
    <w:rsid w:val="00F01913"/>
    <w:rsid w:val="00F0243E"/>
    <w:rsid w:val="00F02541"/>
    <w:rsid w:val="00F06545"/>
    <w:rsid w:val="00F07026"/>
    <w:rsid w:val="00F11290"/>
    <w:rsid w:val="00F12ABB"/>
    <w:rsid w:val="00F1371F"/>
    <w:rsid w:val="00F13ABD"/>
    <w:rsid w:val="00F1483D"/>
    <w:rsid w:val="00F1532C"/>
    <w:rsid w:val="00F16965"/>
    <w:rsid w:val="00F170E7"/>
    <w:rsid w:val="00F207EF"/>
    <w:rsid w:val="00F20C16"/>
    <w:rsid w:val="00F20D0C"/>
    <w:rsid w:val="00F20F7C"/>
    <w:rsid w:val="00F22628"/>
    <w:rsid w:val="00F22C44"/>
    <w:rsid w:val="00F25095"/>
    <w:rsid w:val="00F25F91"/>
    <w:rsid w:val="00F2680A"/>
    <w:rsid w:val="00F2744B"/>
    <w:rsid w:val="00F276B4"/>
    <w:rsid w:val="00F3100E"/>
    <w:rsid w:val="00F31108"/>
    <w:rsid w:val="00F31B91"/>
    <w:rsid w:val="00F31C57"/>
    <w:rsid w:val="00F3308E"/>
    <w:rsid w:val="00F33F48"/>
    <w:rsid w:val="00F357B5"/>
    <w:rsid w:val="00F35DB0"/>
    <w:rsid w:val="00F3629B"/>
    <w:rsid w:val="00F3665D"/>
    <w:rsid w:val="00F3709D"/>
    <w:rsid w:val="00F37DF5"/>
    <w:rsid w:val="00F40FCD"/>
    <w:rsid w:val="00F44191"/>
    <w:rsid w:val="00F47536"/>
    <w:rsid w:val="00F475B8"/>
    <w:rsid w:val="00F5175D"/>
    <w:rsid w:val="00F51826"/>
    <w:rsid w:val="00F52581"/>
    <w:rsid w:val="00F5312A"/>
    <w:rsid w:val="00F565F2"/>
    <w:rsid w:val="00F56F5F"/>
    <w:rsid w:val="00F570C4"/>
    <w:rsid w:val="00F608FF"/>
    <w:rsid w:val="00F60B22"/>
    <w:rsid w:val="00F60B57"/>
    <w:rsid w:val="00F6113F"/>
    <w:rsid w:val="00F61486"/>
    <w:rsid w:val="00F618A5"/>
    <w:rsid w:val="00F63E49"/>
    <w:rsid w:val="00F6670F"/>
    <w:rsid w:val="00F66C98"/>
    <w:rsid w:val="00F66DA0"/>
    <w:rsid w:val="00F66F5C"/>
    <w:rsid w:val="00F71564"/>
    <w:rsid w:val="00F71B43"/>
    <w:rsid w:val="00F72EF5"/>
    <w:rsid w:val="00F73B11"/>
    <w:rsid w:val="00F74213"/>
    <w:rsid w:val="00F75F4B"/>
    <w:rsid w:val="00F7794D"/>
    <w:rsid w:val="00F77A6D"/>
    <w:rsid w:val="00F77B6A"/>
    <w:rsid w:val="00F77F78"/>
    <w:rsid w:val="00F805D6"/>
    <w:rsid w:val="00F80C75"/>
    <w:rsid w:val="00F81381"/>
    <w:rsid w:val="00F8200C"/>
    <w:rsid w:val="00F8202A"/>
    <w:rsid w:val="00F82414"/>
    <w:rsid w:val="00F84BC0"/>
    <w:rsid w:val="00F853B5"/>
    <w:rsid w:val="00F868D6"/>
    <w:rsid w:val="00F86939"/>
    <w:rsid w:val="00F872C0"/>
    <w:rsid w:val="00F903E4"/>
    <w:rsid w:val="00F9050D"/>
    <w:rsid w:val="00F90846"/>
    <w:rsid w:val="00F90D75"/>
    <w:rsid w:val="00F91974"/>
    <w:rsid w:val="00F92764"/>
    <w:rsid w:val="00F92CDF"/>
    <w:rsid w:val="00F93158"/>
    <w:rsid w:val="00F9328E"/>
    <w:rsid w:val="00F9341A"/>
    <w:rsid w:val="00F94865"/>
    <w:rsid w:val="00F948BB"/>
    <w:rsid w:val="00F95251"/>
    <w:rsid w:val="00F954AC"/>
    <w:rsid w:val="00F9637A"/>
    <w:rsid w:val="00F978E7"/>
    <w:rsid w:val="00FA1250"/>
    <w:rsid w:val="00FA1F40"/>
    <w:rsid w:val="00FA2754"/>
    <w:rsid w:val="00FA34FC"/>
    <w:rsid w:val="00FA6190"/>
    <w:rsid w:val="00FA69B0"/>
    <w:rsid w:val="00FA6A65"/>
    <w:rsid w:val="00FA7A17"/>
    <w:rsid w:val="00FB1064"/>
    <w:rsid w:val="00FB11D7"/>
    <w:rsid w:val="00FB314F"/>
    <w:rsid w:val="00FB4193"/>
    <w:rsid w:val="00FB48FB"/>
    <w:rsid w:val="00FB4C34"/>
    <w:rsid w:val="00FB57AA"/>
    <w:rsid w:val="00FB5C99"/>
    <w:rsid w:val="00FB62F8"/>
    <w:rsid w:val="00FC41A1"/>
    <w:rsid w:val="00FC4364"/>
    <w:rsid w:val="00FC55C3"/>
    <w:rsid w:val="00FC6E06"/>
    <w:rsid w:val="00FC7294"/>
    <w:rsid w:val="00FC73C4"/>
    <w:rsid w:val="00FC7F63"/>
    <w:rsid w:val="00FD0625"/>
    <w:rsid w:val="00FD096E"/>
    <w:rsid w:val="00FD09CA"/>
    <w:rsid w:val="00FD1211"/>
    <w:rsid w:val="00FD15BF"/>
    <w:rsid w:val="00FD1C98"/>
    <w:rsid w:val="00FD2186"/>
    <w:rsid w:val="00FD2E06"/>
    <w:rsid w:val="00FD31A0"/>
    <w:rsid w:val="00FD3C6D"/>
    <w:rsid w:val="00FD4732"/>
    <w:rsid w:val="00FD4B22"/>
    <w:rsid w:val="00FD4EF4"/>
    <w:rsid w:val="00FD5343"/>
    <w:rsid w:val="00FD5FAD"/>
    <w:rsid w:val="00FD613C"/>
    <w:rsid w:val="00FE0250"/>
    <w:rsid w:val="00FE0C08"/>
    <w:rsid w:val="00FE0CDC"/>
    <w:rsid w:val="00FE1D78"/>
    <w:rsid w:val="00FE2015"/>
    <w:rsid w:val="00FE2222"/>
    <w:rsid w:val="00FE41A9"/>
    <w:rsid w:val="00FE4216"/>
    <w:rsid w:val="00FE427F"/>
    <w:rsid w:val="00FE59F2"/>
    <w:rsid w:val="00FE7AE0"/>
    <w:rsid w:val="00FF225D"/>
    <w:rsid w:val="00FF262A"/>
    <w:rsid w:val="00FF3086"/>
    <w:rsid w:val="00FF412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30FF7"/>
  <w15:docId w15:val="{833AEF94-D814-4800-9D51-BEE10563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36"/>
    <w:rPr>
      <w:rFonts w:ascii="Tahoma" w:eastAsia="Cambria" w:hAnsi="Tahoma" w:cs="Times New Roman"/>
      <w:lang w:val="en-AU"/>
    </w:rPr>
  </w:style>
  <w:style w:type="paragraph" w:styleId="Heading1">
    <w:name w:val="heading 1"/>
    <w:basedOn w:val="Normal"/>
    <w:next w:val="Normal"/>
    <w:link w:val="Heading1Char"/>
    <w:autoRedefine/>
    <w:uiPriority w:val="9"/>
    <w:qFormat/>
    <w:rsid w:val="00686D93"/>
    <w:pPr>
      <w:keepNext/>
      <w:keepLines/>
      <w:spacing w:line="360" w:lineRule="auto"/>
      <w:outlineLvl w:val="0"/>
    </w:pPr>
    <w:rPr>
      <w:rFonts w:ascii="Helvetica Neue" w:eastAsiaTheme="majorEastAsia" w:hAnsi="Helvetica Neue" w:cstheme="majorBidi"/>
      <w:caps/>
      <w:sz w:val="26"/>
      <w:szCs w:val="26"/>
      <w:lang w:eastAsia="ja-JP"/>
    </w:rPr>
  </w:style>
  <w:style w:type="paragraph" w:styleId="Heading2">
    <w:name w:val="heading 2"/>
    <w:basedOn w:val="Heading1"/>
    <w:next w:val="Normal"/>
    <w:link w:val="Heading2Char"/>
    <w:autoRedefine/>
    <w:uiPriority w:val="9"/>
    <w:unhideWhenUsed/>
    <w:qFormat/>
    <w:rsid w:val="009A7B22"/>
    <w:pPr>
      <w:numPr>
        <w:numId w:val="6"/>
      </w:numPr>
      <w:ind w:left="357" w:hanging="357"/>
      <w:jc w:val="both"/>
      <w:outlineLvl w:val="1"/>
    </w:pPr>
    <w:rPr>
      <w:rFonts w:ascii="Tahoma" w:hAnsi="Tahoma" w:cs="Tahoma"/>
      <w:b/>
      <w:bCs/>
      <w:i/>
      <w:sz w:val="24"/>
      <w:szCs w:val="24"/>
    </w:rPr>
  </w:style>
  <w:style w:type="paragraph" w:styleId="Heading3">
    <w:name w:val="heading 3"/>
    <w:basedOn w:val="Normal"/>
    <w:next w:val="Normal"/>
    <w:link w:val="Heading3Char"/>
    <w:uiPriority w:val="9"/>
    <w:qFormat/>
    <w:rsid w:val="0095101D"/>
    <w:pPr>
      <w:keepNext/>
      <w:keepLines/>
      <w:spacing w:before="320" w:after="360"/>
      <w:jc w:val="both"/>
      <w:outlineLvl w:val="2"/>
    </w:pPr>
    <w:rPr>
      <w:rFonts w:eastAsia="Times New Roman"/>
      <w:b/>
      <w:bCs/>
      <w:sz w:val="31"/>
      <w:szCs w:val="22"/>
    </w:rPr>
  </w:style>
  <w:style w:type="paragraph" w:styleId="Heading4">
    <w:name w:val="heading 4"/>
    <w:basedOn w:val="Normal"/>
    <w:next w:val="Normal"/>
    <w:link w:val="Heading4Char"/>
    <w:qFormat/>
    <w:rsid w:val="0075121E"/>
    <w:pPr>
      <w:keepNext/>
      <w:keepLines/>
      <w:spacing w:before="200" w:after="240"/>
      <w:jc w:val="both"/>
      <w:outlineLvl w:val="3"/>
    </w:pPr>
    <w:rPr>
      <w:rFonts w:eastAsia="Times New Roman"/>
      <w:b/>
      <w:bCs/>
      <w:i/>
      <w:iCs/>
      <w:color w:val="4F81BD"/>
      <w:szCs w:val="22"/>
    </w:rPr>
  </w:style>
  <w:style w:type="paragraph" w:styleId="Heading5">
    <w:name w:val="heading 5"/>
    <w:basedOn w:val="Normal"/>
    <w:next w:val="Normal"/>
    <w:link w:val="Heading5Char"/>
    <w:uiPriority w:val="9"/>
    <w:qFormat/>
    <w:rsid w:val="0075121E"/>
    <w:pPr>
      <w:tabs>
        <w:tab w:val="left" w:pos="360"/>
      </w:tabs>
      <w:spacing w:before="160" w:after="80"/>
      <w:outlineLvl w:val="4"/>
    </w:pPr>
    <w:rPr>
      <w:rFonts w:ascii="Times New Roman" w:eastAsia="SimSun" w:hAnsi="Times New Roman"/>
      <w:bCs/>
      <w:smallCaps/>
      <w:noProof/>
      <w:sz w:val="28"/>
    </w:rPr>
  </w:style>
  <w:style w:type="paragraph" w:styleId="Heading6">
    <w:name w:val="heading 6"/>
    <w:basedOn w:val="Normal"/>
    <w:next w:val="Normal"/>
    <w:link w:val="Heading6Char"/>
    <w:uiPriority w:val="9"/>
    <w:unhideWhenUsed/>
    <w:qFormat/>
    <w:rsid w:val="003713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93"/>
    <w:rPr>
      <w:rFonts w:ascii="Helvetica Neue" w:eastAsiaTheme="majorEastAsia" w:hAnsi="Helvetica Neue" w:cstheme="majorBidi"/>
      <w:caps/>
      <w:sz w:val="26"/>
      <w:szCs w:val="26"/>
      <w:lang w:eastAsia="ja-JP"/>
    </w:rPr>
  </w:style>
  <w:style w:type="character" w:customStyle="1" w:styleId="Heading2Char">
    <w:name w:val="Heading 2 Char"/>
    <w:basedOn w:val="DefaultParagraphFont"/>
    <w:link w:val="Heading2"/>
    <w:uiPriority w:val="9"/>
    <w:rsid w:val="009A7B22"/>
    <w:rPr>
      <w:rFonts w:ascii="Tahoma" w:eastAsiaTheme="majorEastAsia" w:hAnsi="Tahoma" w:cs="Tahoma"/>
      <w:b/>
      <w:bCs/>
      <w:i/>
      <w:caps/>
      <w:lang w:eastAsia="ja-JP"/>
    </w:rPr>
  </w:style>
  <w:style w:type="character" w:customStyle="1" w:styleId="Heading3Char">
    <w:name w:val="Heading 3 Char"/>
    <w:basedOn w:val="DefaultParagraphFont"/>
    <w:link w:val="Heading3"/>
    <w:uiPriority w:val="9"/>
    <w:rsid w:val="0095101D"/>
    <w:rPr>
      <w:rFonts w:ascii="Tahoma" w:eastAsia="Times New Roman" w:hAnsi="Tahoma" w:cs="Times New Roman"/>
      <w:b/>
      <w:bCs/>
      <w:sz w:val="31"/>
      <w:szCs w:val="22"/>
      <w:lang w:val="en-AU"/>
    </w:rPr>
  </w:style>
  <w:style w:type="character" w:customStyle="1" w:styleId="Heading4Char">
    <w:name w:val="Heading 4 Char"/>
    <w:basedOn w:val="DefaultParagraphFont"/>
    <w:link w:val="Heading4"/>
    <w:uiPriority w:val="9"/>
    <w:rsid w:val="0075121E"/>
    <w:rPr>
      <w:rFonts w:ascii="Cambria" w:eastAsia="Times New Roman" w:hAnsi="Cambria" w:cs="Times New Roman"/>
      <w:b/>
      <w:bCs/>
      <w:i/>
      <w:iCs/>
      <w:color w:val="4F81BD"/>
      <w:szCs w:val="22"/>
      <w:lang w:val="en-AU"/>
    </w:rPr>
  </w:style>
  <w:style w:type="character" w:customStyle="1" w:styleId="Heading5Char">
    <w:name w:val="Heading 5 Char"/>
    <w:basedOn w:val="DefaultParagraphFont"/>
    <w:link w:val="Heading5"/>
    <w:uiPriority w:val="9"/>
    <w:rsid w:val="0075121E"/>
    <w:rPr>
      <w:rFonts w:ascii="Times New Roman" w:eastAsia="SimSun" w:hAnsi="Times New Roman" w:cs="Times New Roman"/>
      <w:bCs/>
      <w:smallCaps/>
      <w:noProof/>
      <w:sz w:val="28"/>
    </w:rPr>
  </w:style>
  <w:style w:type="character" w:customStyle="1" w:styleId="Heading6Char">
    <w:name w:val="Heading 6 Char"/>
    <w:basedOn w:val="DefaultParagraphFont"/>
    <w:link w:val="Heading6"/>
    <w:uiPriority w:val="9"/>
    <w:rsid w:val="003713C2"/>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E41BBE"/>
    <w:rPr>
      <w:color w:val="605E5C"/>
      <w:shd w:val="clear" w:color="auto" w:fill="E1DFDD"/>
    </w:rPr>
  </w:style>
  <w:style w:type="paragraph" w:styleId="FootnoteText">
    <w:name w:val="footnote text"/>
    <w:basedOn w:val="Normal"/>
    <w:link w:val="FootnoteTextChar"/>
    <w:semiHidden/>
    <w:unhideWhenUsed/>
    <w:qFormat/>
    <w:rsid w:val="00F47536"/>
    <w:rPr>
      <w:rFonts w:ascii="Georgia" w:hAnsi="Georgia"/>
      <w:sz w:val="18"/>
      <w:szCs w:val="20"/>
    </w:rPr>
  </w:style>
  <w:style w:type="character" w:styleId="PageNumber">
    <w:name w:val="page number"/>
    <w:basedOn w:val="DefaultParagraphFont"/>
    <w:uiPriority w:val="99"/>
    <w:semiHidden/>
    <w:unhideWhenUsed/>
    <w:rsid w:val="003A7244"/>
  </w:style>
  <w:style w:type="paragraph" w:customStyle="1" w:styleId="AnzjesContents">
    <w:name w:val="Anzjes_Contents"/>
    <w:qFormat/>
    <w:rsid w:val="00ED13BD"/>
    <w:pPr>
      <w:tabs>
        <w:tab w:val="right" w:pos="9632"/>
      </w:tabs>
      <w:spacing w:after="360"/>
    </w:pPr>
    <w:rPr>
      <w:rFonts w:ascii="Tahoma" w:hAnsi="Tahoma" w:cs="Tahoma"/>
      <w:i/>
      <w:sz w:val="28"/>
      <w:szCs w:val="28"/>
      <w:lang w:eastAsia="ja-JP"/>
    </w:rPr>
  </w:style>
  <w:style w:type="character" w:styleId="Hyperlink">
    <w:name w:val="Hyperlink"/>
    <w:basedOn w:val="DefaultParagraphFont"/>
    <w:uiPriority w:val="99"/>
    <w:unhideWhenUsed/>
    <w:rsid w:val="004559EB"/>
    <w:rPr>
      <w:rFonts w:ascii="Tahoma" w:hAnsi="Tahoma"/>
      <w:color w:val="0000FF"/>
      <w:sz w:val="28"/>
      <w:u w:val="single"/>
    </w:rPr>
  </w:style>
  <w:style w:type="paragraph" w:styleId="Revision">
    <w:name w:val="Revision"/>
    <w:hidden/>
    <w:uiPriority w:val="99"/>
    <w:semiHidden/>
    <w:rsid w:val="00287582"/>
    <w:rPr>
      <w:rFonts w:ascii="Cambria" w:eastAsia="Cambria" w:hAnsi="Cambria" w:cs="Times New Roman"/>
    </w:rPr>
  </w:style>
  <w:style w:type="paragraph" w:styleId="Title">
    <w:name w:val="Title"/>
    <w:basedOn w:val="Normal"/>
    <w:next w:val="Normal"/>
    <w:link w:val="TitleChar"/>
    <w:uiPriority w:val="10"/>
    <w:qFormat/>
    <w:rsid w:val="0075121E"/>
    <w:pPr>
      <w:spacing w:after="300"/>
      <w:contextualSpacing/>
      <w:jc w:val="center"/>
    </w:pPr>
    <w:rPr>
      <w:rFonts w:ascii="Times New Roman" w:eastAsia="Times New Roman" w:hAnsi="Times New Roman"/>
      <w:color w:val="000000"/>
      <w:spacing w:val="5"/>
      <w:kern w:val="28"/>
      <w:sz w:val="52"/>
      <w:szCs w:val="52"/>
    </w:rPr>
  </w:style>
  <w:style w:type="character" w:customStyle="1" w:styleId="TitleChar">
    <w:name w:val="Title Char"/>
    <w:basedOn w:val="DefaultParagraphFont"/>
    <w:link w:val="Title"/>
    <w:uiPriority w:val="10"/>
    <w:rsid w:val="0075121E"/>
    <w:rPr>
      <w:rFonts w:ascii="Times New Roman" w:eastAsia="Times New Roman" w:hAnsi="Times New Roman" w:cs="Times New Roman"/>
      <w:color w:val="000000"/>
      <w:spacing w:val="5"/>
      <w:kern w:val="28"/>
      <w:sz w:val="52"/>
      <w:szCs w:val="52"/>
      <w:lang w:val="en-AU"/>
    </w:rPr>
  </w:style>
  <w:style w:type="character" w:styleId="Emphasis">
    <w:name w:val="Emphasis"/>
    <w:basedOn w:val="DefaultParagraphFont"/>
    <w:uiPriority w:val="20"/>
    <w:qFormat/>
    <w:rsid w:val="0075121E"/>
    <w:rPr>
      <w:b/>
      <w:bCs/>
      <w:i w:val="0"/>
      <w:iCs w:val="0"/>
    </w:rPr>
  </w:style>
  <w:style w:type="paragraph" w:customStyle="1" w:styleId="References">
    <w:name w:val="References"/>
    <w:basedOn w:val="Normal"/>
    <w:rsid w:val="00250C42"/>
    <w:pPr>
      <w:spacing w:before="120" w:after="120"/>
      <w:ind w:left="720" w:hanging="720"/>
      <w:jc w:val="both"/>
    </w:pPr>
    <w:rPr>
      <w:rFonts w:ascii="Times New Roman" w:eastAsia="Times New Roman" w:hAnsi="Times New Roman"/>
      <w:b/>
      <w:sz w:val="22"/>
    </w:rPr>
  </w:style>
  <w:style w:type="character" w:customStyle="1" w:styleId="slug-vol">
    <w:name w:val="slug-vol"/>
    <w:basedOn w:val="DefaultParagraphFont"/>
    <w:rsid w:val="0075121E"/>
  </w:style>
  <w:style w:type="character" w:customStyle="1" w:styleId="slug-issue">
    <w:name w:val="slug-issue"/>
    <w:basedOn w:val="DefaultParagraphFont"/>
    <w:rsid w:val="0075121E"/>
  </w:style>
  <w:style w:type="character" w:customStyle="1" w:styleId="slug-doi">
    <w:name w:val="slug-doi"/>
    <w:basedOn w:val="DefaultParagraphFont"/>
    <w:rsid w:val="0075121E"/>
  </w:style>
  <w:style w:type="paragraph" w:styleId="TableofFigures">
    <w:name w:val="table of figures"/>
    <w:basedOn w:val="Normal"/>
    <w:next w:val="Normal"/>
    <w:uiPriority w:val="99"/>
    <w:unhideWhenUsed/>
    <w:qFormat/>
    <w:rsid w:val="0075121E"/>
    <w:pPr>
      <w:spacing w:line="259" w:lineRule="auto"/>
    </w:pPr>
    <w:rPr>
      <w:rFonts w:ascii="Times New Roman" w:eastAsiaTheme="minorHAnsi" w:hAnsi="Times New Roman" w:cstheme="minorBidi"/>
      <w:szCs w:val="22"/>
      <w:lang w:val="en-NZ"/>
    </w:rPr>
  </w:style>
  <w:style w:type="character" w:customStyle="1" w:styleId="FootnoteTextChar">
    <w:name w:val="Footnote Text Char"/>
    <w:basedOn w:val="DefaultParagraphFont"/>
    <w:link w:val="FootnoteText"/>
    <w:semiHidden/>
    <w:rsid w:val="00F47536"/>
    <w:rPr>
      <w:rFonts w:ascii="Georgia" w:eastAsia="Cambria" w:hAnsi="Georgia" w:cs="Times New Roman"/>
      <w:sz w:val="18"/>
      <w:szCs w:val="20"/>
      <w:lang w:val="en-AU"/>
    </w:rPr>
  </w:style>
  <w:style w:type="character" w:styleId="FootnoteReference">
    <w:name w:val="footnote reference"/>
    <w:basedOn w:val="DefaultParagraphFont"/>
    <w:semiHidden/>
    <w:unhideWhenUsed/>
    <w:rsid w:val="00F47536"/>
    <w:rPr>
      <w:rFonts w:ascii="Georgia" w:hAnsi="Georgia"/>
      <w:sz w:val="20"/>
      <w:vertAlign w:val="superscript"/>
    </w:rPr>
  </w:style>
  <w:style w:type="character" w:styleId="IntenseEmphasis">
    <w:name w:val="Intense Emphasis"/>
    <w:basedOn w:val="DefaultParagraphFont"/>
    <w:uiPriority w:val="21"/>
    <w:qFormat/>
    <w:rsid w:val="0075121E"/>
    <w:rPr>
      <w:b/>
      <w:bCs/>
      <w:i/>
      <w:iCs/>
      <w:color w:val="4F81BD" w:themeColor="accent1"/>
    </w:rPr>
  </w:style>
  <w:style w:type="paragraph" w:customStyle="1" w:styleId="AnzjesContentsHead">
    <w:name w:val="Anzjes_ContentsHead"/>
    <w:next w:val="AnzjesBody"/>
    <w:qFormat/>
    <w:rsid w:val="005D0F5D"/>
    <w:pPr>
      <w:widowControl w:val="0"/>
      <w:tabs>
        <w:tab w:val="left" w:pos="720"/>
        <w:tab w:val="left" w:pos="1440"/>
        <w:tab w:val="left" w:pos="2160"/>
        <w:tab w:val="left" w:pos="2880"/>
        <w:tab w:val="left" w:pos="3600"/>
        <w:tab w:val="left" w:pos="4320"/>
      </w:tabs>
      <w:autoSpaceDE w:val="0"/>
      <w:autoSpaceDN w:val="0"/>
      <w:adjustRightInd w:val="0"/>
      <w:spacing w:line="480" w:lineRule="auto"/>
    </w:pPr>
    <w:rPr>
      <w:rFonts w:ascii="Times New Roman" w:hAnsi="Times New Roman" w:cs="Times New Roman"/>
      <w:lang w:val="en-AU" w:eastAsia="ja-JP"/>
    </w:rPr>
  </w:style>
  <w:style w:type="paragraph" w:styleId="TOC3">
    <w:name w:val="toc 3"/>
    <w:basedOn w:val="Normal"/>
    <w:next w:val="Normal"/>
    <w:autoRedefine/>
    <w:uiPriority w:val="39"/>
    <w:unhideWhenUsed/>
    <w:rsid w:val="00DD0D0B"/>
    <w:pPr>
      <w:tabs>
        <w:tab w:val="right" w:leader="dot" w:pos="9622"/>
      </w:tabs>
      <w:spacing w:after="100" w:line="480" w:lineRule="auto"/>
      <w:ind w:left="482"/>
    </w:pPr>
  </w:style>
  <w:style w:type="paragraph" w:styleId="TOCHeading">
    <w:name w:val="TOC Heading"/>
    <w:basedOn w:val="Heading1"/>
    <w:next w:val="Normal"/>
    <w:uiPriority w:val="39"/>
    <w:unhideWhenUsed/>
    <w:qFormat/>
    <w:rsid w:val="00DD0D0B"/>
    <w:pPr>
      <w:spacing w:line="259" w:lineRule="auto"/>
      <w:outlineLvl w:val="9"/>
    </w:pPr>
    <w:rPr>
      <w:rFonts w:asciiTheme="majorHAnsi" w:hAnsiTheme="majorHAnsi"/>
      <w:caps w:val="0"/>
      <w:color w:val="365F91" w:themeColor="accent1" w:themeShade="BF"/>
      <w:sz w:val="32"/>
      <w:szCs w:val="32"/>
      <w:lang w:eastAsia="en-US"/>
    </w:rPr>
  </w:style>
  <w:style w:type="paragraph" w:styleId="TOC1">
    <w:name w:val="toc 1"/>
    <w:next w:val="TOC2"/>
    <w:autoRedefine/>
    <w:uiPriority w:val="39"/>
    <w:unhideWhenUsed/>
    <w:rsid w:val="00010C09"/>
    <w:pPr>
      <w:keepNext/>
      <w:spacing w:before="360"/>
      <w:ind w:right="567"/>
    </w:pPr>
    <w:rPr>
      <w:rFonts w:ascii="Tahoma" w:eastAsia="Cambria" w:hAnsi="Tahoma" w:cs="Tahoma"/>
      <w:i/>
      <w:noProof/>
      <w:sz w:val="28"/>
      <w:szCs w:val="28"/>
      <w:lang w:val="en-AU"/>
    </w:rPr>
  </w:style>
  <w:style w:type="paragraph" w:customStyle="1" w:styleId="AnzjesBody">
    <w:name w:val="Anzjes_Body"/>
    <w:qFormat/>
    <w:rsid w:val="006515FB"/>
    <w:pPr>
      <w:spacing w:after="240"/>
      <w:jc w:val="both"/>
    </w:pPr>
    <w:rPr>
      <w:rFonts w:ascii="Georgia" w:eastAsia="Cambria" w:hAnsi="Georgia" w:cs="Times New Roman"/>
      <w:lang w:val="en-AU"/>
    </w:rPr>
  </w:style>
  <w:style w:type="paragraph" w:customStyle="1" w:styleId="AnzjesHeading2">
    <w:name w:val="Anzjes_Heading2"/>
    <w:next w:val="AnzjesBody"/>
    <w:qFormat/>
    <w:rsid w:val="00177191"/>
    <w:pPr>
      <w:keepNext/>
      <w:spacing w:before="360" w:after="240"/>
      <w:outlineLvl w:val="1"/>
    </w:pPr>
    <w:rPr>
      <w:rFonts w:ascii="Tahoma" w:eastAsia="Cambria" w:hAnsi="Tahoma" w:cs="Times New Roman"/>
      <w:b/>
      <w:sz w:val="28"/>
      <w:lang w:val="en-AU"/>
    </w:rPr>
  </w:style>
  <w:style w:type="paragraph" w:customStyle="1" w:styleId="AnzjesQuote">
    <w:name w:val="Anzjes_Quote"/>
    <w:basedOn w:val="AnzjesBody"/>
    <w:next w:val="AnzjesBody"/>
    <w:qFormat/>
    <w:rsid w:val="005F06A9"/>
    <w:pPr>
      <w:ind w:left="709"/>
    </w:pPr>
    <w:rPr>
      <w:rFonts w:eastAsia="Times New Roman"/>
      <w:szCs w:val="20"/>
      <w:lang w:eastAsia="it-IT"/>
    </w:rPr>
  </w:style>
  <w:style w:type="paragraph" w:customStyle="1" w:styleId="AnzjesListNum">
    <w:name w:val="Anzjes_ListNum"/>
    <w:basedOn w:val="AnzjesBody"/>
    <w:qFormat/>
    <w:rsid w:val="00483A40"/>
    <w:pPr>
      <w:numPr>
        <w:numId w:val="5"/>
      </w:numPr>
      <w:ind w:left="714" w:hanging="357"/>
      <w:contextualSpacing/>
    </w:pPr>
    <w:rPr>
      <w:rFonts w:eastAsiaTheme="minorHAnsi"/>
    </w:rPr>
  </w:style>
  <w:style w:type="paragraph" w:customStyle="1" w:styleId="AnzjesAbstractHead">
    <w:name w:val="Anzjes_AbstractHead"/>
    <w:next w:val="AnzjesAbstractText"/>
    <w:qFormat/>
    <w:rsid w:val="001254A8"/>
    <w:pPr>
      <w:spacing w:before="360"/>
    </w:pPr>
    <w:rPr>
      <w:rFonts w:ascii="Georgia" w:eastAsia="Cambria" w:hAnsi="Georgia" w:cs="Times New Roman"/>
      <w:b/>
      <w:sz w:val="20"/>
      <w:lang w:val="en-AU"/>
    </w:rPr>
  </w:style>
  <w:style w:type="paragraph" w:customStyle="1" w:styleId="AnzjesFootnote">
    <w:name w:val="Anzjes_Footnote"/>
    <w:qFormat/>
    <w:rsid w:val="00C47914"/>
    <w:rPr>
      <w:rFonts w:ascii="Georgia" w:hAnsi="Georgia" w:cs="Times New Roman"/>
      <w:sz w:val="18"/>
      <w:szCs w:val="20"/>
      <w:lang w:val="en-AU"/>
    </w:rPr>
  </w:style>
  <w:style w:type="paragraph" w:customStyle="1" w:styleId="AnzjesAuthorAffiliation">
    <w:name w:val="Anzjes_AuthorAffiliation"/>
    <w:next w:val="AnzjesAuthorEmail"/>
    <w:qFormat/>
    <w:rsid w:val="005D0F5D"/>
    <w:pPr>
      <w:tabs>
        <w:tab w:val="left" w:pos="4253"/>
      </w:tabs>
    </w:pPr>
    <w:rPr>
      <w:rFonts w:ascii="Tahoma" w:eastAsia="Calibri" w:hAnsi="Tahoma" w:cs="Times New Roman"/>
      <w:bCs/>
      <w:sz w:val="28"/>
      <w:lang w:val="en-AU"/>
    </w:rPr>
  </w:style>
  <w:style w:type="paragraph" w:customStyle="1" w:styleId="AnzjesAuthorName">
    <w:name w:val="Anzjes_AuthorName"/>
    <w:next w:val="AnzjesAuthorAffiliation"/>
    <w:qFormat/>
    <w:rsid w:val="00AF4A01"/>
    <w:pPr>
      <w:spacing w:before="360"/>
      <w:outlineLvl w:val="1"/>
    </w:pPr>
    <w:rPr>
      <w:rFonts w:ascii="Tahoma" w:eastAsia="Calibri" w:hAnsi="Tahoma" w:cs="Times New Roman"/>
      <w:bCs/>
      <w:sz w:val="28"/>
      <w:lang w:val="en-AU"/>
    </w:rPr>
  </w:style>
  <w:style w:type="paragraph" w:customStyle="1" w:styleId="AnzjesAbstractText">
    <w:name w:val="Anzjes_AbstractText"/>
    <w:qFormat/>
    <w:rsid w:val="001254A8"/>
    <w:pPr>
      <w:spacing w:after="240"/>
      <w:jc w:val="both"/>
    </w:pPr>
    <w:rPr>
      <w:rFonts w:ascii="Georgia" w:eastAsia="Calibri" w:hAnsi="Georgia" w:cs="Times New Roman"/>
      <w:i/>
      <w:sz w:val="20"/>
      <w:szCs w:val="20"/>
      <w:lang w:val="en-AU"/>
    </w:rPr>
  </w:style>
  <w:style w:type="paragraph" w:customStyle="1" w:styleId="AnzjesHeaderEven">
    <w:name w:val="Anzjes_HeaderEven"/>
    <w:qFormat/>
    <w:rsid w:val="00FB1064"/>
    <w:pPr>
      <w:tabs>
        <w:tab w:val="center" w:pos="4320"/>
        <w:tab w:val="right" w:pos="8640"/>
      </w:tabs>
    </w:pPr>
    <w:rPr>
      <w:rFonts w:ascii="Tahoma" w:eastAsia="Cambria" w:hAnsi="Tahoma" w:cs="Times New Roman"/>
      <w:i/>
      <w:sz w:val="18"/>
      <w:szCs w:val="20"/>
      <w:lang w:val="en-AU"/>
    </w:rPr>
  </w:style>
  <w:style w:type="paragraph" w:customStyle="1" w:styleId="AnzjesHeaderOdd">
    <w:name w:val="Anzjes_HeaderOdd"/>
    <w:qFormat/>
    <w:rsid w:val="00FB1064"/>
    <w:pPr>
      <w:tabs>
        <w:tab w:val="center" w:pos="4320"/>
        <w:tab w:val="right" w:pos="8640"/>
      </w:tabs>
      <w:jc w:val="right"/>
    </w:pPr>
    <w:rPr>
      <w:rFonts w:ascii="Tahoma" w:eastAsia="Cambria" w:hAnsi="Tahoma" w:cs="Times New Roman"/>
      <w:sz w:val="18"/>
      <w:szCs w:val="20"/>
      <w:lang w:val="en-AU"/>
    </w:rPr>
  </w:style>
  <w:style w:type="paragraph" w:customStyle="1" w:styleId="AnzjesAuthorEmail">
    <w:name w:val="Anzjes_AuthorEmail"/>
    <w:next w:val="AnzjesAbstractHead"/>
    <w:qFormat/>
    <w:rsid w:val="005E3145"/>
    <w:pPr>
      <w:shd w:val="clear" w:color="auto" w:fill="FFFFFF"/>
    </w:pPr>
    <w:rPr>
      <w:rFonts w:ascii="Tahoma" w:eastAsia="Times New Roman" w:hAnsi="Tahoma" w:cs="Times New Roman"/>
      <w:sz w:val="20"/>
      <w:szCs w:val="22"/>
      <w:shd w:val="clear" w:color="auto" w:fill="FFFFFF"/>
      <w:lang w:val="en-AU" w:eastAsia="en-AU"/>
    </w:rPr>
  </w:style>
  <w:style w:type="paragraph" w:customStyle="1" w:styleId="paragraph">
    <w:name w:val="paragraph"/>
    <w:basedOn w:val="Normal"/>
    <w:rsid w:val="009D0D7B"/>
    <w:pPr>
      <w:spacing w:before="100" w:beforeAutospacing="1" w:after="100" w:afterAutospacing="1"/>
    </w:pPr>
    <w:rPr>
      <w:rFonts w:ascii="Times" w:eastAsiaTheme="minorEastAsia" w:hAnsi="Times" w:cstheme="minorBidi"/>
      <w:sz w:val="20"/>
      <w:szCs w:val="20"/>
    </w:rPr>
  </w:style>
  <w:style w:type="paragraph" w:customStyle="1" w:styleId="AnzjesReference">
    <w:name w:val="Anzjes_Reference"/>
    <w:qFormat/>
    <w:rsid w:val="00417F5E"/>
    <w:pPr>
      <w:spacing w:after="180"/>
      <w:ind w:left="720" w:hanging="720"/>
    </w:pPr>
    <w:rPr>
      <w:rFonts w:ascii="Georgia" w:eastAsia="Cambria" w:hAnsi="Georgia" w:cs="Tahoma"/>
      <w:sz w:val="22"/>
      <w:lang w:val="en-AU"/>
    </w:rPr>
  </w:style>
  <w:style w:type="paragraph" w:customStyle="1" w:styleId="AnzjesCaption">
    <w:name w:val="Anzjes_Caption"/>
    <w:next w:val="AnzjesFigure"/>
    <w:qFormat/>
    <w:rsid w:val="0090228D"/>
    <w:pPr>
      <w:keepNext/>
      <w:spacing w:before="240" w:after="120"/>
    </w:pPr>
    <w:rPr>
      <w:rFonts w:ascii="Georgia" w:eastAsia="Cambria" w:hAnsi="Georgia" w:cs="Times New Roman"/>
      <w:b/>
      <w:sz w:val="20"/>
      <w:lang w:val="en-AU"/>
    </w:rPr>
  </w:style>
  <w:style w:type="paragraph" w:customStyle="1" w:styleId="AnzjesTabFigNote">
    <w:name w:val="Anzjes_TabFigNote"/>
    <w:next w:val="AnzjesBody"/>
    <w:qFormat/>
    <w:rsid w:val="00514F07"/>
    <w:pPr>
      <w:spacing w:before="120" w:after="240"/>
      <w:contextualSpacing/>
    </w:pPr>
    <w:rPr>
      <w:rFonts w:ascii="Georgia" w:hAnsi="Georgia" w:cs="Times New Roman"/>
      <w:sz w:val="18"/>
      <w:szCs w:val="20"/>
      <w:lang w:val="en-AU"/>
    </w:rPr>
  </w:style>
  <w:style w:type="paragraph" w:customStyle="1" w:styleId="ColorfulShading-Accent11">
    <w:name w:val="Colorful Shading - Accent 11"/>
    <w:hidden/>
    <w:uiPriority w:val="99"/>
    <w:semiHidden/>
    <w:rsid w:val="00420423"/>
    <w:rPr>
      <w:rFonts w:ascii="Calibri" w:eastAsia="Calibri" w:hAnsi="Calibri" w:cs="Arial"/>
      <w:sz w:val="22"/>
      <w:szCs w:val="22"/>
      <w:lang w:val="en-NZ"/>
    </w:rPr>
  </w:style>
  <w:style w:type="paragraph" w:customStyle="1" w:styleId="AnzjesHeading3">
    <w:name w:val="Anzjes_Heading3"/>
    <w:next w:val="AnzjesBody"/>
    <w:qFormat/>
    <w:rsid w:val="00177191"/>
    <w:pPr>
      <w:keepNext/>
      <w:spacing w:before="240" w:after="240"/>
      <w:outlineLvl w:val="2"/>
    </w:pPr>
    <w:rPr>
      <w:rFonts w:ascii="Tahoma" w:eastAsia="Cambria" w:hAnsi="Tahoma" w:cs="Times New Roman"/>
      <w:b/>
      <w:lang w:val="en-AU"/>
    </w:rPr>
  </w:style>
  <w:style w:type="paragraph" w:customStyle="1" w:styleId="Heading">
    <w:name w:val="Heading"/>
    <w:next w:val="Normal"/>
    <w:rsid w:val="00DC3EEF"/>
    <w:pPr>
      <w:keepNext/>
      <w:pBdr>
        <w:top w:val="nil"/>
        <w:left w:val="nil"/>
        <w:bottom w:val="nil"/>
        <w:right w:val="nil"/>
        <w:between w:val="nil"/>
        <w:bar w:val="nil"/>
      </w:pBdr>
      <w:spacing w:line="360" w:lineRule="auto"/>
      <w:jc w:val="center"/>
      <w:outlineLvl w:val="0"/>
    </w:pPr>
    <w:rPr>
      <w:rFonts w:ascii="Helvetica" w:eastAsia="Arial Unicode MS" w:hAnsi="Helvetica" w:cs="Arial Unicode MS"/>
      <w:b/>
      <w:bCs/>
      <w:color w:val="000000"/>
      <w:u w:color="FF2C21"/>
      <w:bdr w:val="nil"/>
    </w:rPr>
  </w:style>
  <w:style w:type="paragraph" w:customStyle="1" w:styleId="Default">
    <w:name w:val="Default"/>
    <w:rsid w:val="00464D2A"/>
    <w:pPr>
      <w:autoSpaceDE w:val="0"/>
      <w:autoSpaceDN w:val="0"/>
      <w:adjustRightInd w:val="0"/>
    </w:pPr>
    <w:rPr>
      <w:rFonts w:ascii="Times New Roman" w:hAnsi="Times New Roman" w:cs="Times New Roman"/>
      <w:color w:val="000000"/>
      <w:lang w:val="en-AU"/>
    </w:rPr>
  </w:style>
  <w:style w:type="paragraph" w:styleId="TOC2">
    <w:name w:val="toc 2"/>
    <w:autoRedefine/>
    <w:uiPriority w:val="39"/>
    <w:unhideWhenUsed/>
    <w:rsid w:val="00010C09"/>
    <w:pPr>
      <w:tabs>
        <w:tab w:val="right" w:pos="9054"/>
      </w:tabs>
      <w:spacing w:after="360"/>
      <w:ind w:right="567"/>
      <w:contextualSpacing/>
    </w:pPr>
    <w:rPr>
      <w:rFonts w:ascii="Tahoma" w:hAnsi="Tahoma" w:cs="Tahoma"/>
      <w:noProof/>
      <w:sz w:val="28"/>
      <w:szCs w:val="28"/>
      <w:lang w:val="en-AU" w:eastAsia="zh-CN"/>
    </w:rPr>
  </w:style>
  <w:style w:type="paragraph" w:styleId="TOC4">
    <w:name w:val="toc 4"/>
    <w:basedOn w:val="Normal"/>
    <w:next w:val="Normal"/>
    <w:autoRedefine/>
    <w:uiPriority w:val="39"/>
    <w:semiHidden/>
    <w:unhideWhenUsed/>
    <w:rsid w:val="00192E83"/>
    <w:pPr>
      <w:spacing w:line="259" w:lineRule="auto"/>
      <w:ind w:left="660"/>
    </w:pPr>
    <w:rPr>
      <w:rFonts w:asciiTheme="minorHAnsi" w:eastAsiaTheme="minorEastAsia" w:hAnsiTheme="minorHAnsi" w:cstheme="minorBidi"/>
      <w:sz w:val="20"/>
      <w:szCs w:val="20"/>
      <w:lang w:eastAsia="zh-CN"/>
    </w:rPr>
  </w:style>
  <w:style w:type="paragraph" w:styleId="TOC5">
    <w:name w:val="toc 5"/>
    <w:basedOn w:val="Normal"/>
    <w:next w:val="Normal"/>
    <w:autoRedefine/>
    <w:uiPriority w:val="39"/>
    <w:semiHidden/>
    <w:unhideWhenUsed/>
    <w:rsid w:val="00192E83"/>
    <w:pPr>
      <w:spacing w:line="259" w:lineRule="auto"/>
      <w:ind w:left="880"/>
    </w:pPr>
    <w:rPr>
      <w:rFonts w:asciiTheme="minorHAnsi" w:eastAsiaTheme="minorEastAsia" w:hAnsiTheme="minorHAnsi" w:cstheme="minorBidi"/>
      <w:sz w:val="20"/>
      <w:szCs w:val="20"/>
      <w:lang w:eastAsia="zh-CN"/>
    </w:rPr>
  </w:style>
  <w:style w:type="paragraph" w:styleId="TOC6">
    <w:name w:val="toc 6"/>
    <w:basedOn w:val="Normal"/>
    <w:next w:val="Normal"/>
    <w:autoRedefine/>
    <w:uiPriority w:val="39"/>
    <w:semiHidden/>
    <w:unhideWhenUsed/>
    <w:rsid w:val="00192E83"/>
    <w:pPr>
      <w:spacing w:line="259" w:lineRule="auto"/>
      <w:ind w:left="1100"/>
    </w:pPr>
    <w:rPr>
      <w:rFonts w:asciiTheme="minorHAnsi" w:eastAsiaTheme="minorEastAsia" w:hAnsiTheme="minorHAnsi" w:cstheme="minorBidi"/>
      <w:sz w:val="20"/>
      <w:szCs w:val="20"/>
      <w:lang w:eastAsia="zh-CN"/>
    </w:rPr>
  </w:style>
  <w:style w:type="paragraph" w:styleId="TOC7">
    <w:name w:val="toc 7"/>
    <w:basedOn w:val="Normal"/>
    <w:next w:val="Normal"/>
    <w:autoRedefine/>
    <w:uiPriority w:val="39"/>
    <w:semiHidden/>
    <w:unhideWhenUsed/>
    <w:rsid w:val="00192E83"/>
    <w:pPr>
      <w:spacing w:line="259" w:lineRule="auto"/>
      <w:ind w:left="1320"/>
    </w:pPr>
    <w:rPr>
      <w:rFonts w:asciiTheme="minorHAnsi" w:eastAsiaTheme="minorEastAsia" w:hAnsiTheme="minorHAnsi" w:cstheme="minorBidi"/>
      <w:sz w:val="20"/>
      <w:szCs w:val="20"/>
      <w:lang w:eastAsia="zh-CN"/>
    </w:rPr>
  </w:style>
  <w:style w:type="paragraph" w:styleId="TOC8">
    <w:name w:val="toc 8"/>
    <w:basedOn w:val="Normal"/>
    <w:next w:val="Normal"/>
    <w:autoRedefine/>
    <w:uiPriority w:val="39"/>
    <w:semiHidden/>
    <w:unhideWhenUsed/>
    <w:rsid w:val="00192E83"/>
    <w:pPr>
      <w:spacing w:line="259" w:lineRule="auto"/>
      <w:ind w:left="1540"/>
    </w:pPr>
    <w:rPr>
      <w:rFonts w:asciiTheme="minorHAnsi" w:eastAsiaTheme="minorEastAsia" w:hAnsiTheme="minorHAnsi" w:cstheme="minorBidi"/>
      <w:sz w:val="20"/>
      <w:szCs w:val="20"/>
      <w:lang w:eastAsia="zh-CN"/>
    </w:rPr>
  </w:style>
  <w:style w:type="paragraph" w:styleId="TOC9">
    <w:name w:val="toc 9"/>
    <w:basedOn w:val="Normal"/>
    <w:next w:val="Normal"/>
    <w:autoRedefine/>
    <w:uiPriority w:val="39"/>
    <w:semiHidden/>
    <w:unhideWhenUsed/>
    <w:rsid w:val="00192E83"/>
    <w:pPr>
      <w:spacing w:line="259" w:lineRule="auto"/>
      <w:ind w:left="1760"/>
    </w:pPr>
    <w:rPr>
      <w:rFonts w:asciiTheme="minorHAnsi" w:eastAsiaTheme="minorEastAsia" w:hAnsiTheme="minorHAnsi" w:cstheme="minorBidi"/>
      <w:sz w:val="20"/>
      <w:szCs w:val="20"/>
      <w:lang w:eastAsia="zh-CN"/>
    </w:rPr>
  </w:style>
  <w:style w:type="paragraph" w:styleId="IntenseQuote">
    <w:name w:val="Intense Quote"/>
    <w:basedOn w:val="Normal"/>
    <w:next w:val="Normal"/>
    <w:link w:val="IntenseQuoteChar"/>
    <w:uiPriority w:val="30"/>
    <w:qFormat/>
    <w:rsid w:val="00192E83"/>
    <w:pPr>
      <w:pBdr>
        <w:bottom w:val="single" w:sz="4" w:space="4" w:color="4F81BD" w:themeColor="accent1"/>
      </w:pBdr>
      <w:spacing w:before="200" w:after="280" w:line="259" w:lineRule="auto"/>
      <w:ind w:left="936" w:right="936"/>
    </w:pPr>
    <w:rPr>
      <w:rFonts w:asciiTheme="minorHAnsi" w:eastAsiaTheme="minorEastAsia" w:hAnsiTheme="minorHAnsi" w:cstheme="minorBidi"/>
      <w:b/>
      <w:bCs/>
      <w:i/>
      <w:iCs/>
      <w:color w:val="4F81BD" w:themeColor="accent1"/>
      <w:sz w:val="22"/>
      <w:szCs w:val="22"/>
      <w:lang w:eastAsia="zh-CN"/>
    </w:rPr>
  </w:style>
  <w:style w:type="character" w:customStyle="1" w:styleId="IntenseQuoteChar">
    <w:name w:val="Intense Quote Char"/>
    <w:basedOn w:val="DefaultParagraphFont"/>
    <w:link w:val="IntenseQuote"/>
    <w:uiPriority w:val="30"/>
    <w:rsid w:val="00192E83"/>
    <w:rPr>
      <w:b/>
      <w:bCs/>
      <w:i/>
      <w:iCs/>
      <w:color w:val="4F81BD" w:themeColor="accent1"/>
      <w:sz w:val="22"/>
      <w:szCs w:val="22"/>
      <w:lang w:eastAsia="zh-CN"/>
    </w:rPr>
  </w:style>
  <w:style w:type="paragraph" w:styleId="ListNumber">
    <w:name w:val="List Number"/>
    <w:basedOn w:val="Normal"/>
    <w:rsid w:val="006F3E70"/>
    <w:pPr>
      <w:numPr>
        <w:numId w:val="7"/>
      </w:numPr>
      <w:spacing w:after="240"/>
      <w:jc w:val="both"/>
    </w:pPr>
    <w:rPr>
      <w:rFonts w:ascii="Times New Roman" w:eastAsia="Times New Roman" w:hAnsi="Times New Roman"/>
      <w:szCs w:val="20"/>
      <w:lang w:val="en-GB"/>
    </w:rPr>
  </w:style>
  <w:style w:type="paragraph" w:customStyle="1" w:styleId="ListNumberLevel2">
    <w:name w:val="List Number (Level 2)"/>
    <w:basedOn w:val="Normal"/>
    <w:rsid w:val="006F3E70"/>
    <w:pPr>
      <w:numPr>
        <w:ilvl w:val="1"/>
        <w:numId w:val="7"/>
      </w:numPr>
      <w:spacing w:after="240"/>
      <w:jc w:val="both"/>
    </w:pPr>
    <w:rPr>
      <w:rFonts w:ascii="Times New Roman" w:eastAsia="Times New Roman" w:hAnsi="Times New Roman"/>
      <w:szCs w:val="20"/>
      <w:lang w:val="en-GB"/>
    </w:rPr>
  </w:style>
  <w:style w:type="paragraph" w:customStyle="1" w:styleId="ListNumberLevel3">
    <w:name w:val="List Number (Level 3)"/>
    <w:basedOn w:val="Normal"/>
    <w:rsid w:val="006F3E70"/>
    <w:pPr>
      <w:numPr>
        <w:ilvl w:val="2"/>
        <w:numId w:val="7"/>
      </w:numPr>
      <w:spacing w:after="240"/>
      <w:jc w:val="both"/>
    </w:pPr>
    <w:rPr>
      <w:rFonts w:ascii="Times New Roman" w:eastAsia="Times New Roman" w:hAnsi="Times New Roman"/>
      <w:szCs w:val="20"/>
      <w:lang w:val="en-GB"/>
    </w:rPr>
  </w:style>
  <w:style w:type="paragraph" w:customStyle="1" w:styleId="ListNumberLevel4">
    <w:name w:val="List Number (Level 4)"/>
    <w:basedOn w:val="Normal"/>
    <w:rsid w:val="006F3E70"/>
    <w:pPr>
      <w:numPr>
        <w:ilvl w:val="3"/>
        <w:numId w:val="7"/>
      </w:numPr>
      <w:spacing w:after="240"/>
      <w:jc w:val="both"/>
    </w:pPr>
    <w:rPr>
      <w:rFonts w:ascii="Times New Roman" w:eastAsia="Times New Roman" w:hAnsi="Times New Roman"/>
      <w:szCs w:val="20"/>
      <w:lang w:val="en-GB"/>
    </w:rPr>
  </w:style>
  <w:style w:type="paragraph" w:customStyle="1" w:styleId="LightList-Accent31">
    <w:name w:val="Light List - Accent 31"/>
    <w:hidden/>
    <w:uiPriority w:val="99"/>
    <w:semiHidden/>
    <w:rsid w:val="006F3E70"/>
    <w:rPr>
      <w:rFonts w:ascii="Calibri" w:eastAsia="MS Mincho" w:hAnsi="Calibri" w:cs="Times New Roman"/>
      <w:sz w:val="22"/>
      <w:szCs w:val="22"/>
      <w:lang w:val="en-GB" w:eastAsia="en-GB"/>
    </w:rPr>
  </w:style>
  <w:style w:type="paragraph" w:customStyle="1" w:styleId="footnotedescription">
    <w:name w:val="footnote description"/>
    <w:next w:val="Normal"/>
    <w:link w:val="footnotedescriptionChar"/>
    <w:hidden/>
    <w:rsid w:val="000608F4"/>
    <w:pPr>
      <w:spacing w:line="259" w:lineRule="auto"/>
    </w:pPr>
    <w:rPr>
      <w:rFonts w:ascii="Times New Roman" w:eastAsia="Times New Roman" w:hAnsi="Times New Roman" w:cs="Times New Roman"/>
      <w:color w:val="000000"/>
      <w:lang w:val="en-AU" w:eastAsia="en-GB"/>
    </w:rPr>
  </w:style>
  <w:style w:type="character" w:customStyle="1" w:styleId="footnotedescriptionChar">
    <w:name w:val="footnote description Char"/>
    <w:link w:val="footnotedescription"/>
    <w:rsid w:val="000608F4"/>
    <w:rPr>
      <w:rFonts w:ascii="Times New Roman" w:eastAsia="Times New Roman" w:hAnsi="Times New Roman" w:cs="Times New Roman"/>
      <w:color w:val="000000"/>
      <w:lang w:val="en-AU" w:eastAsia="en-GB"/>
    </w:rPr>
  </w:style>
  <w:style w:type="character" w:customStyle="1" w:styleId="footnotemark">
    <w:name w:val="footnote mark"/>
    <w:hidden/>
    <w:rsid w:val="000608F4"/>
    <w:rPr>
      <w:rFonts w:ascii="Times New Roman" w:eastAsia="Times New Roman" w:hAnsi="Times New Roman" w:cs="Times New Roman"/>
      <w:color w:val="000000"/>
      <w:sz w:val="22"/>
      <w:vertAlign w:val="superscript"/>
    </w:rPr>
  </w:style>
  <w:style w:type="character" w:customStyle="1" w:styleId="pagerange">
    <w:name w:val="page_range"/>
    <w:basedOn w:val="DefaultParagraphFont"/>
    <w:rsid w:val="003A03B1"/>
  </w:style>
  <w:style w:type="character" w:customStyle="1" w:styleId="1">
    <w:name w:val="אזכור לא מזוהה1"/>
    <w:basedOn w:val="DefaultParagraphFont"/>
    <w:uiPriority w:val="99"/>
    <w:semiHidden/>
    <w:unhideWhenUsed/>
    <w:rsid w:val="00171544"/>
    <w:rPr>
      <w:color w:val="605E5C"/>
      <w:shd w:val="clear" w:color="auto" w:fill="E1DFDD"/>
    </w:rPr>
  </w:style>
  <w:style w:type="character" w:customStyle="1" w:styleId="2">
    <w:name w:val="אזכור לא מזוהה2"/>
    <w:basedOn w:val="DefaultParagraphFont"/>
    <w:uiPriority w:val="99"/>
    <w:semiHidden/>
    <w:unhideWhenUsed/>
    <w:rsid w:val="00171544"/>
    <w:rPr>
      <w:color w:val="605E5C"/>
      <w:shd w:val="clear" w:color="auto" w:fill="E1DFDD"/>
    </w:rPr>
  </w:style>
  <w:style w:type="character" w:customStyle="1" w:styleId="10">
    <w:name w:val="תאריך1"/>
    <w:basedOn w:val="DefaultParagraphFont"/>
    <w:rsid w:val="00171544"/>
  </w:style>
  <w:style w:type="character" w:customStyle="1" w:styleId="3">
    <w:name w:val="אזכור לא מזוהה3"/>
    <w:basedOn w:val="DefaultParagraphFont"/>
    <w:uiPriority w:val="99"/>
    <w:semiHidden/>
    <w:unhideWhenUsed/>
    <w:rsid w:val="00171544"/>
    <w:rPr>
      <w:color w:val="605E5C"/>
      <w:shd w:val="clear" w:color="auto" w:fill="E1DFDD"/>
    </w:rPr>
  </w:style>
  <w:style w:type="character" w:customStyle="1" w:styleId="4">
    <w:name w:val="אזכור לא מזוהה4"/>
    <w:basedOn w:val="DefaultParagraphFont"/>
    <w:uiPriority w:val="99"/>
    <w:semiHidden/>
    <w:unhideWhenUsed/>
    <w:rsid w:val="00171544"/>
    <w:rPr>
      <w:color w:val="605E5C"/>
      <w:shd w:val="clear" w:color="auto" w:fill="E1DFDD"/>
    </w:rPr>
  </w:style>
  <w:style w:type="paragraph" w:customStyle="1" w:styleId="AnzjesArticleTitle">
    <w:name w:val="Anzjes_ArticleTitle"/>
    <w:next w:val="AnzjesAuthorName"/>
    <w:qFormat/>
    <w:rsid w:val="00E41BBE"/>
    <w:pPr>
      <w:keepNext/>
      <w:spacing w:before="360" w:after="360"/>
      <w:outlineLvl w:val="0"/>
    </w:pPr>
    <w:rPr>
      <w:rFonts w:ascii="Tahoma" w:eastAsia="Times New Roman" w:hAnsi="Tahoma" w:cs="Times New Roman"/>
      <w:b/>
      <w:bCs/>
      <w:sz w:val="31"/>
      <w:szCs w:val="22"/>
      <w:lang w:val="en-AU"/>
    </w:rPr>
  </w:style>
  <w:style w:type="paragraph" w:styleId="Footer">
    <w:name w:val="footer"/>
    <w:basedOn w:val="Normal"/>
    <w:link w:val="FooterChar"/>
    <w:uiPriority w:val="99"/>
    <w:unhideWhenUsed/>
    <w:rsid w:val="00E74451"/>
    <w:pPr>
      <w:tabs>
        <w:tab w:val="center" w:pos="4513"/>
        <w:tab w:val="right" w:pos="9026"/>
      </w:tabs>
    </w:pPr>
  </w:style>
  <w:style w:type="character" w:customStyle="1" w:styleId="FooterChar">
    <w:name w:val="Footer Char"/>
    <w:basedOn w:val="DefaultParagraphFont"/>
    <w:link w:val="Footer"/>
    <w:uiPriority w:val="99"/>
    <w:rsid w:val="00E74451"/>
    <w:rPr>
      <w:rFonts w:ascii="Cambria" w:eastAsia="Cambria" w:hAnsi="Cambria" w:cs="Times New Roman"/>
    </w:rPr>
  </w:style>
  <w:style w:type="paragraph" w:styleId="Header">
    <w:name w:val="header"/>
    <w:basedOn w:val="Normal"/>
    <w:link w:val="HeaderChar"/>
    <w:uiPriority w:val="99"/>
    <w:unhideWhenUsed/>
    <w:rsid w:val="002C300F"/>
    <w:pPr>
      <w:tabs>
        <w:tab w:val="center" w:pos="4513"/>
        <w:tab w:val="right" w:pos="9026"/>
      </w:tabs>
    </w:pPr>
  </w:style>
  <w:style w:type="character" w:customStyle="1" w:styleId="HeaderChar">
    <w:name w:val="Header Char"/>
    <w:basedOn w:val="DefaultParagraphFont"/>
    <w:link w:val="Header"/>
    <w:uiPriority w:val="99"/>
    <w:rsid w:val="002C300F"/>
    <w:rPr>
      <w:rFonts w:ascii="Cambria" w:eastAsia="Cambria" w:hAnsi="Cambria" w:cs="Times New Roman"/>
    </w:rPr>
  </w:style>
  <w:style w:type="paragraph" w:customStyle="1" w:styleId="AnzjesHeaderFirst">
    <w:name w:val="Anzjes_HeaderFirst"/>
    <w:next w:val="AnzjesArticleTitle"/>
    <w:qFormat/>
    <w:rsid w:val="00FB1064"/>
    <w:pPr>
      <w:jc w:val="right"/>
    </w:pPr>
    <w:rPr>
      <w:rFonts w:ascii="Tahoma" w:eastAsia="Cambria" w:hAnsi="Tahoma" w:cs="Tahoma"/>
      <w:i/>
      <w:sz w:val="18"/>
      <w:szCs w:val="20"/>
      <w:lang w:val="en-AU"/>
    </w:rPr>
  </w:style>
  <w:style w:type="paragraph" w:customStyle="1" w:styleId="AnzjesFooter">
    <w:name w:val="Anzjes_Footer"/>
    <w:qFormat/>
    <w:rsid w:val="00E41BBE"/>
    <w:rPr>
      <w:rFonts w:ascii="Tahoma" w:eastAsia="Cambria" w:hAnsi="Tahoma" w:cs="Times New Roman"/>
      <w:sz w:val="18"/>
      <w:szCs w:val="18"/>
      <w:lang w:val="en-AU"/>
    </w:rPr>
  </w:style>
  <w:style w:type="paragraph" w:customStyle="1" w:styleId="AnzjesBullet">
    <w:name w:val="Anzjes_Bullet"/>
    <w:qFormat/>
    <w:rsid w:val="00483A40"/>
    <w:pPr>
      <w:numPr>
        <w:numId w:val="11"/>
      </w:numPr>
      <w:spacing w:after="240"/>
      <w:ind w:left="714" w:hanging="357"/>
      <w:contextualSpacing/>
      <w:jc w:val="both"/>
    </w:pPr>
    <w:rPr>
      <w:rFonts w:ascii="Georgia" w:eastAsiaTheme="minorHAnsi" w:hAnsi="Georgia" w:cs="Times New Roman"/>
      <w:lang w:val="en-AU"/>
    </w:rPr>
  </w:style>
  <w:style w:type="paragraph" w:customStyle="1" w:styleId="AnzjesKeywords">
    <w:name w:val="Anzjes_Keywords"/>
    <w:next w:val="AnzjesHeading2"/>
    <w:qFormat/>
    <w:rsid w:val="005F06A9"/>
    <w:pPr>
      <w:spacing w:before="360"/>
    </w:pPr>
    <w:rPr>
      <w:rFonts w:ascii="Georgia" w:eastAsia="Cambria" w:hAnsi="Georgia" w:cs="Times New Roman"/>
      <w:bCs/>
      <w:sz w:val="20"/>
      <w:lang w:val="en-AU"/>
    </w:rPr>
  </w:style>
  <w:style w:type="paragraph" w:customStyle="1" w:styleId="AnzjesKeywordsHead">
    <w:name w:val="Anzjes_KeywordsHead"/>
    <w:basedOn w:val="AnzjesAbstractHead"/>
    <w:next w:val="AnzjesKeywords"/>
    <w:qFormat/>
    <w:rsid w:val="005F06A9"/>
  </w:style>
  <w:style w:type="paragraph" w:customStyle="1" w:styleId="AnzjesFigure">
    <w:name w:val="Anzjes_Figure"/>
    <w:qFormat/>
    <w:rsid w:val="00976B35"/>
    <w:rPr>
      <w:rFonts w:ascii="Georgia" w:eastAsia="Cambria" w:hAnsi="Georgia" w:cs="Times New Roman"/>
      <w:sz w:val="20"/>
      <w:lang w:val="en-AU"/>
    </w:rPr>
  </w:style>
  <w:style w:type="paragraph" w:customStyle="1" w:styleId="AnzjesTableCellQual">
    <w:name w:val="Anzjes_TableCellQual"/>
    <w:qFormat/>
    <w:rsid w:val="0056749F"/>
    <w:pPr>
      <w:spacing w:before="120" w:after="120"/>
    </w:pPr>
    <w:rPr>
      <w:rFonts w:ascii="Georgia" w:eastAsia="Cambria" w:hAnsi="Georgia" w:cs="Times New Roman"/>
      <w:sz w:val="20"/>
      <w:lang w:val="en-AU"/>
    </w:rPr>
  </w:style>
  <w:style w:type="paragraph" w:styleId="Caption">
    <w:name w:val="caption"/>
    <w:basedOn w:val="Normal"/>
    <w:next w:val="Normal"/>
    <w:uiPriority w:val="35"/>
    <w:unhideWhenUsed/>
    <w:qFormat/>
    <w:rsid w:val="00C81752"/>
    <w:pPr>
      <w:spacing w:before="240" w:after="120"/>
    </w:pPr>
    <w:rPr>
      <w:rFonts w:ascii="Georgia" w:hAnsi="Georgia"/>
      <w:b/>
      <w:iCs/>
      <w:sz w:val="20"/>
      <w:szCs w:val="18"/>
    </w:rPr>
  </w:style>
  <w:style w:type="paragraph" w:customStyle="1" w:styleId="AnzjesAcknowledgement">
    <w:name w:val="Anzjes_Acknowledgement"/>
    <w:basedOn w:val="AnzjesBody"/>
    <w:next w:val="AnzjesBody"/>
    <w:qFormat/>
    <w:rsid w:val="00F1532C"/>
    <w:pPr>
      <w:jc w:val="center"/>
    </w:pPr>
  </w:style>
  <w:style w:type="paragraph" w:customStyle="1" w:styleId="CONFNumbers">
    <w:name w:val="CONFNumbers"/>
    <w:basedOn w:val="Normal"/>
    <w:next w:val="Normal"/>
    <w:uiPriority w:val="99"/>
    <w:rsid w:val="0095785E"/>
    <w:pPr>
      <w:numPr>
        <w:numId w:val="18"/>
      </w:numPr>
      <w:spacing w:after="120"/>
      <w:ind w:left="726" w:hanging="357"/>
      <w:jc w:val="both"/>
    </w:pPr>
    <w:rPr>
      <w:rFonts w:ascii="Calibri" w:eastAsia="Times New Roman" w:hAnsi="Calibri" w:cs="Arial Unicode MS"/>
    </w:rPr>
  </w:style>
  <w:style w:type="paragraph" w:customStyle="1" w:styleId="CONFNumbersIndent">
    <w:name w:val="CONFNumbersIndent"/>
    <w:basedOn w:val="CONFNumbers"/>
    <w:qFormat/>
    <w:rsid w:val="0095785E"/>
    <w:pPr>
      <w:numPr>
        <w:ilvl w:val="1"/>
      </w:numPr>
      <w:contextualSpacing/>
    </w:pPr>
  </w:style>
  <w:style w:type="character" w:styleId="FollowedHyperlink">
    <w:name w:val="FollowedHyperlink"/>
    <w:basedOn w:val="DefaultParagraphFont"/>
    <w:uiPriority w:val="99"/>
    <w:semiHidden/>
    <w:unhideWhenUsed/>
    <w:rsid w:val="004559EB"/>
    <w:rPr>
      <w:color w:val="800080" w:themeColor="followedHyperlink"/>
      <w:u w:val="single"/>
    </w:rPr>
  </w:style>
  <w:style w:type="paragraph" w:customStyle="1" w:styleId="AnzjesHeading4">
    <w:name w:val="Anzjes_Heading4"/>
    <w:next w:val="AnzjesBody"/>
    <w:qFormat/>
    <w:rsid w:val="00177191"/>
    <w:pPr>
      <w:keepNext/>
      <w:spacing w:before="120" w:after="120"/>
      <w:outlineLvl w:val="3"/>
    </w:pPr>
    <w:rPr>
      <w:rFonts w:ascii="Tahoma" w:eastAsia="Cambria" w:hAnsi="Tahoma" w:cs="Tahoma"/>
      <w:b/>
      <w:i/>
      <w:iCs/>
      <w:lang w:val="en-AU"/>
    </w:rPr>
  </w:style>
  <w:style w:type="paragraph" w:customStyle="1" w:styleId="AnzjesListNumIndent">
    <w:name w:val="Anzjes_ListNumIndent"/>
    <w:qFormat/>
    <w:rsid w:val="00CA0FBE"/>
    <w:pPr>
      <w:numPr>
        <w:numId w:val="21"/>
      </w:numPr>
      <w:ind w:left="1071" w:hanging="357"/>
      <w:jc w:val="both"/>
    </w:pPr>
    <w:rPr>
      <w:rFonts w:ascii="Georgia" w:eastAsiaTheme="minorHAnsi" w:hAnsi="Georgia" w:cs="Times New Roman"/>
      <w:lang w:val="en-AU"/>
    </w:rPr>
  </w:style>
  <w:style w:type="paragraph" w:customStyle="1" w:styleId="AnzjesTableHeader">
    <w:name w:val="Anzjes_TableHeader"/>
    <w:next w:val="AnzjesTableCellQual"/>
    <w:qFormat/>
    <w:rsid w:val="00741FC4"/>
    <w:pPr>
      <w:spacing w:before="120" w:after="120"/>
      <w:jc w:val="center"/>
    </w:pPr>
    <w:rPr>
      <w:rFonts w:ascii="Georgia" w:eastAsia="Cambria" w:hAnsi="Georgia" w:cs="Times New Roman"/>
      <w:sz w:val="20"/>
      <w:lang w:val="en-AU"/>
    </w:rPr>
  </w:style>
  <w:style w:type="paragraph" w:customStyle="1" w:styleId="AnzjesTableCellQuant">
    <w:name w:val="Anzjes_TableCellQuant"/>
    <w:qFormat/>
    <w:rsid w:val="0056749F"/>
    <w:pPr>
      <w:keepNext/>
      <w:spacing w:before="120" w:after="120"/>
      <w:jc w:val="center"/>
    </w:pPr>
    <w:rPr>
      <w:rFonts w:ascii="Georgia" w:eastAsia="Cambria" w:hAnsi="Georgia" w:cs="Times New Roman"/>
      <w:sz w:val="20"/>
      <w:lang w:val="en-AU"/>
    </w:rPr>
  </w:style>
  <w:style w:type="paragraph" w:customStyle="1" w:styleId="CONFBullets">
    <w:name w:val="CONFBullets"/>
    <w:basedOn w:val="Normal"/>
    <w:next w:val="Normal"/>
    <w:uiPriority w:val="99"/>
    <w:rsid w:val="00B65323"/>
    <w:pPr>
      <w:numPr>
        <w:numId w:val="38"/>
      </w:numPr>
      <w:spacing w:after="120"/>
      <w:contextualSpacing/>
      <w:jc w:val="both"/>
    </w:pPr>
    <w:rPr>
      <w:rFonts w:ascii="Calibri" w:eastAsia="Times New Roman" w:hAnsi="Calibri" w:cs="Arial Unicode MS"/>
    </w:rPr>
  </w:style>
  <w:style w:type="character" w:styleId="CommentReference">
    <w:name w:val="annotation reference"/>
    <w:basedOn w:val="DefaultParagraphFont"/>
    <w:uiPriority w:val="99"/>
    <w:semiHidden/>
    <w:unhideWhenUsed/>
    <w:rsid w:val="00387E2E"/>
    <w:rPr>
      <w:sz w:val="16"/>
      <w:szCs w:val="16"/>
    </w:rPr>
  </w:style>
  <w:style w:type="paragraph" w:styleId="CommentText">
    <w:name w:val="annotation text"/>
    <w:basedOn w:val="Normal"/>
    <w:link w:val="CommentTextChar"/>
    <w:uiPriority w:val="99"/>
    <w:semiHidden/>
    <w:unhideWhenUsed/>
    <w:rsid w:val="00387E2E"/>
    <w:rPr>
      <w:sz w:val="20"/>
      <w:szCs w:val="20"/>
    </w:rPr>
  </w:style>
  <w:style w:type="character" w:customStyle="1" w:styleId="CommentTextChar">
    <w:name w:val="Comment Text Char"/>
    <w:basedOn w:val="DefaultParagraphFont"/>
    <w:link w:val="CommentText"/>
    <w:uiPriority w:val="99"/>
    <w:semiHidden/>
    <w:rsid w:val="00387E2E"/>
    <w:rPr>
      <w:rFonts w:ascii="Tahoma" w:eastAsia="Cambria" w:hAnsi="Tahoma"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387E2E"/>
    <w:rPr>
      <w:b/>
      <w:bCs/>
    </w:rPr>
  </w:style>
  <w:style w:type="character" w:customStyle="1" w:styleId="CommentSubjectChar">
    <w:name w:val="Comment Subject Char"/>
    <w:basedOn w:val="CommentTextChar"/>
    <w:link w:val="CommentSubject"/>
    <w:uiPriority w:val="99"/>
    <w:semiHidden/>
    <w:rsid w:val="00387E2E"/>
    <w:rPr>
      <w:rFonts w:ascii="Tahoma" w:eastAsia="Cambria" w:hAnsi="Tahoma"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1217">
      <w:bodyDiv w:val="1"/>
      <w:marLeft w:val="0"/>
      <w:marRight w:val="0"/>
      <w:marTop w:val="0"/>
      <w:marBottom w:val="0"/>
      <w:divBdr>
        <w:top w:val="none" w:sz="0" w:space="0" w:color="auto"/>
        <w:left w:val="none" w:sz="0" w:space="0" w:color="auto"/>
        <w:bottom w:val="none" w:sz="0" w:space="0" w:color="auto"/>
        <w:right w:val="none" w:sz="0" w:space="0" w:color="auto"/>
      </w:divBdr>
    </w:div>
    <w:div w:id="273751796">
      <w:bodyDiv w:val="1"/>
      <w:marLeft w:val="0"/>
      <w:marRight w:val="0"/>
      <w:marTop w:val="0"/>
      <w:marBottom w:val="0"/>
      <w:divBdr>
        <w:top w:val="none" w:sz="0" w:space="0" w:color="auto"/>
        <w:left w:val="none" w:sz="0" w:space="0" w:color="auto"/>
        <w:bottom w:val="none" w:sz="0" w:space="0" w:color="auto"/>
        <w:right w:val="none" w:sz="0" w:space="0" w:color="auto"/>
      </w:divBdr>
      <w:divsChild>
        <w:div w:id="261764113">
          <w:marLeft w:val="0"/>
          <w:marRight w:val="0"/>
          <w:marTop w:val="0"/>
          <w:marBottom w:val="0"/>
          <w:divBdr>
            <w:top w:val="none" w:sz="0" w:space="0" w:color="auto"/>
            <w:left w:val="none" w:sz="0" w:space="0" w:color="auto"/>
            <w:bottom w:val="none" w:sz="0" w:space="0" w:color="auto"/>
            <w:right w:val="none" w:sz="0" w:space="0" w:color="auto"/>
          </w:divBdr>
          <w:divsChild>
            <w:div w:id="1836871538">
              <w:marLeft w:val="0"/>
              <w:marRight w:val="0"/>
              <w:marTop w:val="0"/>
              <w:marBottom w:val="0"/>
              <w:divBdr>
                <w:top w:val="none" w:sz="0" w:space="0" w:color="auto"/>
                <w:left w:val="none" w:sz="0" w:space="0" w:color="auto"/>
                <w:bottom w:val="none" w:sz="0" w:space="0" w:color="auto"/>
                <w:right w:val="none" w:sz="0" w:space="0" w:color="auto"/>
              </w:divBdr>
              <w:divsChild>
                <w:div w:id="6277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96353">
      <w:bodyDiv w:val="1"/>
      <w:marLeft w:val="0"/>
      <w:marRight w:val="0"/>
      <w:marTop w:val="0"/>
      <w:marBottom w:val="0"/>
      <w:divBdr>
        <w:top w:val="none" w:sz="0" w:space="0" w:color="auto"/>
        <w:left w:val="none" w:sz="0" w:space="0" w:color="auto"/>
        <w:bottom w:val="none" w:sz="0" w:space="0" w:color="auto"/>
        <w:right w:val="none" w:sz="0" w:space="0" w:color="auto"/>
      </w:divBdr>
    </w:div>
    <w:div w:id="1045910082">
      <w:bodyDiv w:val="1"/>
      <w:marLeft w:val="0"/>
      <w:marRight w:val="0"/>
      <w:marTop w:val="0"/>
      <w:marBottom w:val="0"/>
      <w:divBdr>
        <w:top w:val="none" w:sz="0" w:space="0" w:color="auto"/>
        <w:left w:val="none" w:sz="0" w:space="0" w:color="auto"/>
        <w:bottom w:val="none" w:sz="0" w:space="0" w:color="auto"/>
        <w:right w:val="none" w:sz="0" w:space="0" w:color="auto"/>
      </w:divBdr>
    </w:div>
    <w:div w:id="1292788976">
      <w:bodyDiv w:val="1"/>
      <w:marLeft w:val="0"/>
      <w:marRight w:val="0"/>
      <w:marTop w:val="0"/>
      <w:marBottom w:val="0"/>
      <w:divBdr>
        <w:top w:val="none" w:sz="0" w:space="0" w:color="auto"/>
        <w:left w:val="none" w:sz="0" w:space="0" w:color="auto"/>
        <w:bottom w:val="none" w:sz="0" w:space="0" w:color="auto"/>
        <w:right w:val="none" w:sz="0" w:space="0" w:color="auto"/>
      </w:divBdr>
    </w:div>
    <w:div w:id="1420715742">
      <w:bodyDiv w:val="1"/>
      <w:marLeft w:val="0"/>
      <w:marRight w:val="0"/>
      <w:marTop w:val="0"/>
      <w:marBottom w:val="0"/>
      <w:divBdr>
        <w:top w:val="none" w:sz="0" w:space="0" w:color="auto"/>
        <w:left w:val="none" w:sz="0" w:space="0" w:color="auto"/>
        <w:bottom w:val="none" w:sz="0" w:space="0" w:color="auto"/>
        <w:right w:val="none" w:sz="0" w:space="0" w:color="auto"/>
      </w:divBdr>
    </w:div>
    <w:div w:id="1549610912">
      <w:bodyDiv w:val="1"/>
      <w:marLeft w:val="0"/>
      <w:marRight w:val="0"/>
      <w:marTop w:val="0"/>
      <w:marBottom w:val="0"/>
      <w:divBdr>
        <w:top w:val="none" w:sz="0" w:space="0" w:color="auto"/>
        <w:left w:val="none" w:sz="0" w:space="0" w:color="auto"/>
        <w:bottom w:val="none" w:sz="0" w:space="0" w:color="auto"/>
        <w:right w:val="none" w:sz="0" w:space="0" w:color="auto"/>
      </w:divBdr>
      <w:divsChild>
        <w:div w:id="1819105372">
          <w:marLeft w:val="0"/>
          <w:marRight w:val="0"/>
          <w:marTop w:val="0"/>
          <w:marBottom w:val="0"/>
          <w:divBdr>
            <w:top w:val="none" w:sz="0" w:space="0" w:color="auto"/>
            <w:left w:val="none" w:sz="0" w:space="0" w:color="auto"/>
            <w:bottom w:val="none" w:sz="0" w:space="0" w:color="auto"/>
            <w:right w:val="none" w:sz="0" w:space="0" w:color="auto"/>
          </w:divBdr>
          <w:divsChild>
            <w:div w:id="108478521">
              <w:marLeft w:val="0"/>
              <w:marRight w:val="0"/>
              <w:marTop w:val="0"/>
              <w:marBottom w:val="0"/>
              <w:divBdr>
                <w:top w:val="none" w:sz="0" w:space="0" w:color="auto"/>
                <w:left w:val="none" w:sz="0" w:space="0" w:color="auto"/>
                <w:bottom w:val="none" w:sz="0" w:space="0" w:color="auto"/>
                <w:right w:val="none" w:sz="0" w:space="0" w:color="auto"/>
              </w:divBdr>
              <w:divsChild>
                <w:div w:id="15359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72203">
      <w:bodyDiv w:val="1"/>
      <w:marLeft w:val="0"/>
      <w:marRight w:val="0"/>
      <w:marTop w:val="0"/>
      <w:marBottom w:val="0"/>
      <w:divBdr>
        <w:top w:val="none" w:sz="0" w:space="0" w:color="auto"/>
        <w:left w:val="none" w:sz="0" w:space="0" w:color="auto"/>
        <w:bottom w:val="none" w:sz="0" w:space="0" w:color="auto"/>
        <w:right w:val="none" w:sz="0" w:space="0" w:color="auto"/>
      </w:divBdr>
    </w:div>
    <w:div w:id="1722829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journals.library.usyd.edu.au/index.php/ANZJES/about/submis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ylemanual.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00165-000" TargetMode="External"/><Relationship Id="rId5" Type="http://schemas.openxmlformats.org/officeDocument/2006/relationships/webSettings" Target="webSettings.xml"/><Relationship Id="rId10" Type="http://schemas.openxmlformats.org/officeDocument/2006/relationships/hyperlink" Target="https://apastyle.apa.org/blo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sia\OneDrive%20-%20The%20University%20of%20Melbourne\Documents\8.%20CESAA_ESAANZ\ANZJES\Formatting%20and%20templates\ANZJES_Author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Jen12</b:Tag>
    <b:SourceType>JournalArticle</b:SourceType>
    <b:Guid>{D1B4CBBE-9FFC-4277-9DBA-2EFE51F1B75E}</b:Guid>
    <b:Title>The elephant in the room: mapping the latent communication pattern in European Union studies</b:Title>
    <b:JournalName>Journal of European Public Policy </b:JournalName>
    <b:Year>2012</b:Year>
    <b:Pages>1-20</b:Pages>
    <b:Volume>20</b:Volume>
    <b:Issue>1</b:Issue>
    <b:Author>
      <b:Author>
        <b:NameList>
          <b:Person>
            <b:Last>Jensen </b:Last>
            <b:Middle>Dagnis </b:Middle>
            <b:First>Mads</b:First>
          </b:Person>
          <b:Person>
            <b:Last>Kristensen</b:Last>
            <b:Middle>Marcus</b:Middle>
            <b:First>Peter</b:First>
          </b:Person>
        </b:NameList>
      </b:Author>
    </b:Author>
    <b:RefOrder>28</b:RefOrder>
  </b:Source>
  <b:Source>
    <b:Tag>Fal98</b:Tag>
    <b:SourceType>BookSection</b:SourceType>
    <b:Guid>{05404863-E90B-42FE-986A-7E19D912AF32}</b:Guid>
    <b:Title>Political Theory and EU Politics</b:Title>
    <b:BookTitle>EU Social Policy in the 1990s</b:BookTitle>
    <b:Year>1998</b:Year>
    <b:Pages>50</b:Pages>
    <b:City>New York</b:City>
    <b:Publisher>Routledge</b:Publisher>
    <b:Author>
      <b:Author>
        <b:NameList>
          <b:Person>
            <b:Last>Falkner</b:Last>
            <b:First>Gerda</b:First>
          </b:Person>
        </b:NameList>
      </b:Author>
    </b:Author>
    <b:RefOrder>29</b:RefOrder>
  </b:Source>
  <b:Source>
    <b:Tag>Puc71</b:Tag>
    <b:SourceType>JournalArticle</b:SourceType>
    <b:Guid>{B8C7BBFB-D2AC-4079-8FA0-42AEEA368BE1}</b:Guid>
    <b:Title>OF BLIND MEN, ELEPHANTS AND INTERNATIONAL INTEGRATION</b:Title>
    <b:JournalName>Journal of Common Market Studies </b:JournalName>
    <b:Year>1971</b:Year>
    <b:Pages>267</b:Pages>
    <b:Author>
      <b:Author>
        <b:NameList>
          <b:Person>
            <b:Last>Puchala</b:Last>
            <b:Middle>J.</b:Middle>
            <b:First>Donald</b:First>
          </b:Person>
        </b:NameList>
      </b:Author>
    </b:Author>
    <b:RefOrder>30</b:RefOrder>
  </b:Source>
  <b:Source>
    <b:Tag>Cla00</b:Tag>
    <b:SourceType>JournalArticle</b:SourceType>
    <b:Guid>{99FDAB39-03A7-4970-89C0-EE63FF021FD5}</b:Guid>
    <b:Title>Whither Europeanization? Concept streching and substantive change</b:Title>
    <b:Year>2000</b:Year>
    <b:Pages>6-25</b:Pages>
    <b:JournalName>European Integration online papers</b:JournalName>
    <b:Volume>4</b:Volume>
    <b:Issue>8</b:Issue>
    <b:Author>
      <b:Author>
        <b:NameList>
          <b:Person>
            <b:Last>Radaelli</b:Last>
            <b:Middle>M</b:Middle>
            <b:First>Claudio</b:First>
          </b:Person>
        </b:NameList>
      </b:Author>
    </b:Author>
    <b:RefOrder>31</b:RefOrder>
  </b:Source>
  <b:Source>
    <b:Tag>Mik91</b:Tag>
    <b:SourceType>JournalArticle</b:SourceType>
    <b:Guid>{669914D7-9E99-4C9E-A450-CE87D4C1A24E}</b:Guid>
    <b:Title>Neo-functionalism: Obstinate or Obsolete? A Reappraisal in the Light of the New Dynamism of the EC</b:Title>
    <b:Year>1991</b:Year>
    <b:JournalName>Journal of International Studies</b:JournalName>
    <b:Pages>1-22</b:Pages>
    <b:Volume>20</b:Volume>
    <b:Issue>1</b:Issue>
    <b:Author>
      <b:Author>
        <b:NameList>
          <b:Person>
            <b:Last>Mikkelsen</b:Last>
            <b:Middle>Tranholm</b:Middle>
            <b:First>Jeppe</b:First>
          </b:Person>
        </b:NameList>
      </b:Author>
    </b:Author>
    <b:RefOrder>32</b:RefOrder>
  </b:Source>
  <b:Source>
    <b:Tag>McG07</b:Tag>
    <b:SourceType>JournalArticle</b:SourceType>
    <b:Guid>{42A0B52A-959B-46DD-BB04-08B5215D7A79}</b:Guid>
    <b:Title>Theorising European Integration: revisiting neofunctionalism and testing its suitability for explaining the development of EC competition policy?</b:Title>
    <b:JournalName>European Integration Online Papers </b:JournalName>
    <b:Year>2007</b:Year>
    <b:Pages>2</b:Pages>
    <b:Volume>11</b:Volume>
    <b:Issue>3</b:Issue>
    <b:Author>
      <b:Author>
        <b:NameList>
          <b:Person>
            <b:Last>McGowan</b:Last>
            <b:First>Lee</b:First>
          </b:Person>
        </b:NameList>
      </b:Author>
    </b:Author>
    <b:RefOrder>33</b:RefOrder>
  </b:Source>
  <b:Source>
    <b:Tag>Ols02</b:Tag>
    <b:SourceType>JournalArticle</b:SourceType>
    <b:Guid>{FCABBCCD-ACB5-41D4-88C0-825AC0EE2985}</b:Guid>
    <b:Title>The Many Faces of Europeanization</b:Title>
    <b:JournalName>JCMS</b:JournalName>
    <b:Year>2002</b:Year>
    <b:Pages>921-952</b:Pages>
    <b:Volume>40</b:Volume>
    <b:Issue>5</b:Issue>
    <b:Author>
      <b:Author>
        <b:NameList>
          <b:Person>
            <b:Last>Olsen</b:Last>
            <b:Middle>P.</b:Middle>
            <b:First>Johan</b:First>
          </b:Person>
        </b:NameList>
      </b:Author>
    </b:Author>
    <b:RefOrder>34</b:RefOrder>
  </b:Source>
  <b:Source>
    <b:Tag>Ris01</b:Tag>
    <b:SourceType>BookSection</b:SourceType>
    <b:Guid>{59BA96D8-FAD9-4BDD-AD2A-A09278357FC8}</b:Guid>
    <b:Title>Europeanization and domestic change</b:Title>
    <b:JournalName>Cornell University Press</b:JournalName>
    <b:Year>2001</b:Year>
    <b:Pages>1-19</b:Pages>
    <b:Author>
      <b:Author>
        <b:NameList>
          <b:Person>
            <b:Last>Risse</b:Last>
            <b:First>Thomas</b:First>
          </b:Person>
          <b:Person>
            <b:Last>Caporaso</b:Last>
            <b:First>James</b:First>
          </b:Person>
          <b:Person>
            <b:Last>Cowles</b:Last>
            <b:Middle>Green</b:Middle>
            <b:First>Maria</b:First>
          </b:Person>
        </b:NameList>
      </b:Author>
      <b:Editor>
        <b:NameList>
          <b:Person>
            <b:Last>Caporaso</b:Last>
            <b:First>James</b:First>
          </b:Person>
          <b:Person>
            <b:Last>Risse</b:Last>
            <b:First>Thomas</b:First>
          </b:Person>
        </b:NameList>
      </b:Editor>
    </b:Author>
    <b:BookTitle>Transforming Europe: Europeanization and Domestic Change</b:BookTitle>
    <b:City>New York</b:City>
    <b:Publisher>Cornell University Press</b:Publisher>
    <b:RefOrder>35</b:RefOrder>
  </b:Source>
  <b:Source>
    <b:Tag>Gra06</b:Tag>
    <b:SourceType>Book</b:SourceType>
    <b:Guid>{8F147383-4C95-45B3-B95F-E9F37D5C5C66}</b:Guid>
    <b:Title>The EU's Transformative Power: Europeanization through Conditionality in Central and Eastern Europe</b:Title>
    <b:Year>2006</b:Year>
    <b:City>New York</b:City>
    <b:Publisher>Palgave Macmillan</b:Publisher>
    <b:Author>
      <b:Author>
        <b:NameList>
          <b:Person>
            <b:Last>Grabbe</b:Last>
            <b:First>Heather</b:First>
          </b:Person>
        </b:NameList>
      </b:Author>
    </b:Author>
    <b:Pages>45</b:Pages>
    <b:RefOrder>36</b:RefOrder>
  </b:Source>
  <b:Source>
    <b:Tag>Lad94</b:Tag>
    <b:SourceType>JournalArticle</b:SourceType>
    <b:Guid>{02CF36A0-3464-4F8E-822A-34B66814E752}</b:Guid>
    <b:Title>Europeanization of Domestic Politics and Institutions: The Case of France</b:Title>
    <b:Year>1994</b:Year>
    <b:Pages>71</b:Pages>
    <b:JournalName>Journal of Common Market Studies</b:JournalName>
    <b:Volume>32</b:Volume>
    <b:Issue>1</b:Issue>
    <b:Author>
      <b:Author>
        <b:NameList>
          <b:Person>
            <b:Last>Ladrech</b:Last>
            <b:First>Robert</b:First>
          </b:Person>
        </b:NameList>
      </b:Author>
    </b:Author>
    <b:RefOrder>37</b:RefOrder>
  </b:Source>
  <b:Source>
    <b:Tag>Bör00</b:Tag>
    <b:SourceType>JournalArticle</b:SourceType>
    <b:Guid>{F4FB5ABB-71FB-40F7-9BD0-12FB1C21FEA7}</b:Guid>
    <b:Title>When Europe Hits Home: Europeanization and Domestic Change</b:Title>
    <b:JournalName>European Integration online Papers</b:JournalName>
    <b:Year>2000</b:Year>
    <b:Pages>3</b:Pages>
    <b:Volume>4</b:Volume>
    <b:Issue>15</b:Issue>
    <b:Author>
      <b:Author>
        <b:NameList>
          <b:Person>
            <b:Last> Börzel</b:Last>
            <b:Middle>A.</b:Middle>
            <b:First>Tanja</b:First>
          </b:Person>
          <b:Person>
            <b:Last>Risse</b:Last>
            <b:First>Thomas</b:First>
          </b:Person>
        </b:NameList>
      </b:Author>
    </b:Author>
    <b:RefOrder>38</b:RefOrder>
  </b:Source>
  <b:Source>
    <b:Tag>Bör16</b:Tag>
    <b:SourceType>BookSection</b:SourceType>
    <b:Guid>{33565896-85E6-498A-9F3A-E10BED0110A3}</b:Guid>
    <b:Title>Europeanization</b:Title>
    <b:BookTitle>European Union Politics</b:BookTitle>
    <b:Year>2016</b:Year>
    <b:Pages>114 - 120</b:Pages>
    <b:Publisher>Oxford University Press</b:Publisher>
    <b:Author>
      <b:Author>
        <b:NameList>
          <b:Person>
            <b:Last>Börzel</b:Last>
            <b:Middle>A.</b:Middle>
            <b:First>Tanja</b:First>
          </b:Person>
          <b:Person>
            <b:Last>Panke</b:Last>
            <b:First>Diana</b:First>
          </b:Person>
        </b:NameList>
      </b:Author>
      <b:Editor>
        <b:NameList>
          <b:Person>
            <b:Last>Cini</b:Last>
            <b:First>Michelle</b:First>
          </b:Person>
        </b:NameList>
      </b:Editor>
    </b:Author>
    <b:RefOrder>39</b:RefOrder>
  </b:Source>
  <b:Source>
    <b:Tag>Cow01</b:Tag>
    <b:SourceType>Book</b:SourceType>
    <b:Guid>{095261F7-C130-40B1-A859-A6339BE554AE}</b:Guid>
    <b:Title>Transforming Europe: Europeanization and Domestic Change</b:Title>
    <b:Year>2001</b:Year>
    <b:City>New York</b:City>
    <b:Publisher>Cornell University Press</b:Publisher>
    <b:Edition>1st</b:Edition>
    <b:Author>
      <b:Author>
        <b:NameList>
          <b:Person>
            <b:Last>Cowles</b:Last>
            <b:Middle>Green</b:Middle>
            <b:First>Maria</b:First>
          </b:Person>
          <b:Person>
            <b:Last>Caporaso</b:Last>
            <b:First>James</b:First>
          </b:Person>
          <b:Person>
            <b:Last>Risse</b:Last>
            <b:First>Thomas</b:First>
          </b:Person>
        </b:NameList>
      </b:Author>
    </b:Author>
    <b:RefOrder>40</b:RefOrder>
  </b:Source>
  <b:Source>
    <b:Tag>Fin17</b:Tag>
    <b:SourceType>Report</b:SourceType>
    <b:Guid>{D31D0225-DCD0-4EF8-B745-EDF0C66AA9C9}</b:Guid>
    <b:Title>Financial integration in Europe</b:Title>
    <b:Year>2017</b:Year>
    <b:City>Frankfurt</b:City>
    <b:Publisher>European Central Bank</b:Publisher>
    <b:Author>
      <b:Author>
        <b:NameList>
          <b:Person>
            <b:Last>European Central Bank</b:Last>
          </b:Person>
        </b:NameList>
      </b:Author>
    </b:Author>
    <b:RefOrder>41</b:RefOrder>
  </b:Source>
  <b:Source>
    <b:Tag>How02</b:Tag>
    <b:SourceType>JournalArticle</b:SourceType>
    <b:Guid>{0B43A127-04F5-4DD4-A30E-CD6887191822}</b:Guid>
    <b:Title>Developing Conceptualizations of Europeanization and European Integration: Mixing Methodologies </b:Title>
    <b:Year>2002</b:Year>
    <b:JournalName>UACES Study Group on the Europeanization of British politics</b:JournalName>
    <b:Pages>27</b:Pages>
    <b:Author>
      <b:Author>
        <b:NameList>
          <b:Person>
            <b:Last>Howell </b:Last>
            <b:First>Kerry</b:First>
          </b:Person>
        </b:NameList>
      </b:Author>
    </b:Author>
    <b:RefOrder>42</b:RefOrder>
  </b:Source>
  <b:Source>
    <b:Tag>Eme04</b:Tag>
    <b:SourceType>ElectronicSource</b:SourceType>
    <b:Guid>{9449DA25-DBE2-4E6A-8B6F-119A99938FA4}</b:Guid>
    <b:Title>Europeanisation &amp; Conflict Resolution Testing an Analytical Framework</b:Title>
    <b:Year>2004</b:Year>
    <b:City>Brussels</b:City>
    <b:Publisher>CEPS Policy Brief</b:Publisher>
    <b:JournalName>CEPS Policy Brief</b:JournalName>
    <b:Pages>4</b:Pages>
    <b:Author>
      <b:Author>
        <b:NameList>
          <b:Person>
            <b:Last>Emerson</b:Last>
            <b:First>Michael</b:First>
          </b:Person>
        </b:NameList>
      </b:Author>
    </b:Author>
    <b:RefOrder>43</b:RefOrder>
  </b:Source>
  <b:Source>
    <b:Tag>Nou04</b:Tag>
    <b:SourceType>JournalArticle</b:SourceType>
    <b:Guid>{C561A896-9DA2-4F72-852A-7EE1F6C126B5}</b:Guid>
    <b:Title>Europeanization and Secessionist Conflicts: Concepts and Theories</b:Title>
    <b:Year>2004</b:Year>
    <b:JournalName>Journal of Ethno Politics and Minority Issues in Europe</b:JournalName>
    <b:Pages>1-35</b:Pages>
    <b:Volume>1</b:Volume>
    <b:Author>
      <b:Author>
        <b:NameList>
          <b:Person>
            <b:Last>Noutcheva</b:Last>
            <b:First>Gergana</b:First>
          </b:Person>
          <b:Person>
            <b:Last>Tocci</b:Last>
            <b:First>nathalie</b:First>
          </b:Person>
          <b:Person>
            <b:Last>Coppieters</b:Last>
            <b:First>Brunno</b:First>
          </b:Person>
          <b:Person>
            <b:Last>Kovziridze</b:Last>
            <b:First>Tamara</b:First>
          </b:Person>
          <b:Person>
            <b:Last>Emerson</b:Last>
            <b:First>Michael</b:First>
          </b:Person>
        </b:NameList>
      </b:Author>
    </b:Author>
    <b:PeriodicalTitle>Journal of Ethno Politics and Minority Issues in Europe</b:PeriodicalTitle>
    <b:RefOrder>44</b:RefOrder>
  </b:Source>
  <b:Source>
    <b:Tag>Die06</b:Tag>
    <b:SourceType>JournalArticle</b:SourceType>
    <b:Guid>{7D63BD29-3A25-43B8-B932-AA7FD254528B}</b:Guid>
    <b:Title>The European Union and border conflicts: the transformative power of integration</b:Title>
    <b:JournalName>International Organization</b:JournalName>
    <b:Year>2006</b:Year>
    <b:Pages> 563-593</b:Pages>
    <b:Author>
      <b:Author>
        <b:NameList>
          <b:Person>
            <b:Last>Diez</b:Last>
            <b:First>Thomas</b:First>
          </b:Person>
          <b:Person>
            <b:Last>Stetter</b:Last>
            <b:First>Stephan</b:First>
          </b:Person>
          <b:Person>
            <b:Last>Albert</b:Last>
            <b:First>Mathias</b:First>
          </b:Person>
        </b:NameList>
      </b:Author>
    </b:Author>
    <b:RefOrder>45</b:RefOrder>
  </b:Source>
  <b:Source>
    <b:Tag>Mül09</b:Tag>
    <b:SourceType>JournalArticle</b:SourceType>
    <b:Guid>{0DDD4F24-1C2C-4CBD-9243-481D1E93075F}</b:Guid>
    <b:Title>Applying the Concept of Europeanization to the Study of Foreign Policy: Dimensions and Mechanisms</b:Title>
    <b:JournalName>Institute for European Integration Research</b:JournalName>
    <b:Year>2009</b:Year>
    <b:Pages>32</b:Pages>
    <b:Author>
      <b:Author>
        <b:NameList>
          <b:Person>
            <b:Last>Müller</b:Last>
            <b:First>Patrick</b:First>
          </b:Person>
          <b:Person>
            <b:Last>de Flers</b:Last>
            <b:Middle>Alecu</b:Middle>
            <b:First>Nicole</b:First>
          </b:Person>
        </b:NameList>
      </b:Author>
    </b:Author>
    <b:RefOrder>46</b:RefOrder>
  </b:Source>
  <b:Source>
    <b:Tag>Bor03</b:Tag>
    <b:SourceType>BookSection</b:SourceType>
    <b:Guid>{DD3EC959-E2A0-4148-A0B3-7FE93BDF4B70}</b:Guid>
    <b:Title>Conceptualising the domestic impact of Europe</b:Title>
    <b:Year>2003</b:Year>
    <b:City>Oxford</b:City>
    <b:Publisher>Oxford University Press</b:Publisher>
    <b:Pages>50-81</b:Pages>
    <b:Author>
      <b:Author>
        <b:NameList>
          <b:Person>
            <b:Last>Borzel </b:Last>
            <b:Middle>A.</b:Middle>
            <b:First>Tanja </b:First>
          </b:Person>
          <b:Person>
            <b:Last>Risse</b:Last>
            <b:First>Thomas</b:First>
          </b:Person>
        </b:NameList>
      </b:Author>
      <b:Editor>
        <b:NameList>
          <b:Person>
            <b:Last>Featherstone </b:Last>
            <b:First>Kevin</b:First>
          </b:Person>
          <b:Person>
            <b:Last>Radaelli</b:Last>
            <b:Middle>M.</b:Middle>
            <b:First>Claudio</b:First>
          </b:Person>
        </b:NameList>
      </b:Editor>
    </b:Author>
    <b:BookTitle>The Politics of Europeanization</b:BookTitle>
    <b:RefOrder>47</b:RefOrder>
  </b:Source>
  <b:Source>
    <b:Tag>Rad03</b:Tag>
    <b:SourceType>Book</b:SourceType>
    <b:Guid>{94ED8D34-2CC0-4044-A76A-A0A83B776C79}</b:Guid>
    <b:Title>The Politics of Europeanization</b:Title>
    <b:Year>2003</b:Year>
    <b:City>Oxford</b:City>
    <b:Publisher> Oxford Scholarship Onlin</b:Publisher>
    <b:Edition>1</b:Edition>
    <b:Author>
      <b:Author>
        <b:NameList>
          <b:Person>
            <b:Last>Radaelli</b:Last>
            <b:Middle>M.</b:Middle>
            <b:First>Caludio</b:First>
          </b:Person>
          <b:Person>
            <b:Last>Featherstone</b:Last>
            <b:First>Kevin</b:First>
          </b:Person>
        </b:NameList>
      </b:Author>
    </b:Author>
    <b:RefOrder>48</b:RefOrder>
  </b:Source>
  <b:Source>
    <b:Tag>Pat09</b:Tag>
    <b:SourceType>JournalArticle</b:SourceType>
    <b:Guid>{867B6E61-0823-452B-B5C9-221AD3015A97}</b:Guid>
    <b:Author>
      <b:Author>
        <b:Corporate>Flers, Patrick Müller and Nicole Alecu de</b:Corporate>
      </b:Author>
    </b:Author>
    <b:Title>Applying the Concept of Europeanization to the Study of Foreign Policy: Dimensions and Mechanisms</b:Title>
    <b:Year>2009</b:Year>
    <b:YearAccessed>2017</b:YearAccessed>
    <b:MonthAccessed>11</b:MonthAccessed>
    <b:DayAccessed>6</b:DayAccessed>
    <b:URL>https://ideas.repec.org/p/erp/eifxxx/p0008.html</b:URL>
    <b:RefOrder>49</b:RefOrder>
  </b:Source>
  <b:Source>
    <b:Tag>Rad09</b:Tag>
    <b:SourceType>JournalArticle</b:SourceType>
    <b:Guid>{7B041FAD-EC07-4BBF-A3A4-F951C9F857B6}</b:Guid>
    <b:Title>Research Design in European Studies: The Case of Europeanization</b:Title>
    <b:JournalName>Journal of Common Market Studies</b:JournalName>
    <b:Year>2009</b:Year>
    <b:Pages>507–530</b:Pages>
    <b:Author>
      <b:Author>
        <b:NameList>
          <b:Person>
            <b:Last>Radaelli</b:Last>
            <b:Middle>M.</b:Middle>
            <b:First>Claudio</b:First>
          </b:Person>
          <b:Person>
            <b:Last>Exadaktylos</b:Last>
            <b:First>Theofanis</b:First>
          </b:Person>
        </b:NameList>
      </b:Author>
    </b:Author>
    <b:Volume>47</b:Volume>
    <b:StandardNumber>3</b:StandardNumber>
    <b:RefOrder>50</b:RefOrder>
  </b:Source>
  <b:Source>
    <b:Tag>Lav041</b:Tag>
    <b:SourceType>JournalArticle</b:SourceType>
    <b:Guid>{E02903B5-EDDC-4A4E-B628-E1F75C628E4C}</b:Guid>
    <b:Title>The External Dimension of Europeanization</b:Title>
    <b:JournalName>Cooperation &amp; Conflict</b:JournalName>
    <b:Year>2004</b:Year>
    <b:Pages>417–43</b:Pages>
    <b:Author>
      <b:Author>
        <b:NameList>
          <b:Person>
            <b:Last>Lavenex</b:Last>
            <b:First>Sandra</b:First>
          </b:Person>
          <b:Person>
            <b:Last>UçArer</b:Last>
            <b:Middle>M.</b:Middle>
            <b:First>Emek</b:First>
          </b:Person>
        </b:NameList>
      </b:Author>
    </b:Author>
    <b:RefOrder>51</b:RefOrder>
  </b:Source>
  <b:Source>
    <b:Tag>Sed06</b:Tag>
    <b:SourceType>JournalArticle</b:SourceType>
    <b:Guid>{FB4EF05B-7060-47C7-B388-E4FA79245D0D}</b:Guid>
    <b:Title>Europeanisation in new member and candidate states</b:Title>
    <b:JournalName>Living Rev. Euro. Gov</b:JournalName>
    <b:Year>2006</b:Year>
    <b:Pages>23</b:Pages>
    <b:Author>
      <b:Author>
        <b:NameList>
          <b:Person>
            <b:Last>Sedelmeier</b:Last>
            <b:First>Ulrich</b:First>
          </b:Person>
        </b:NameList>
      </b:Author>
    </b:Author>
    <b:RefOrder>52</b:RefOrder>
  </b:Source>
  <b:Source>
    <b:Tag>Sch042</b:Tag>
    <b:SourceType>JournalArticle</b:SourceType>
    <b:Guid>{083FB3E8-07C5-4A2A-A95B-9D651B10DDF6}</b:Guid>
    <b:Title>Governance by conditionality: EU rule transfer to the candidate countries of Central and Eastern Europe</b:Title>
    <b:JournalName>Journal of European Public Policy</b:JournalName>
    <b:Year>2004</b:Year>
    <b:Pages>661-679</b:Pages>
    <b:Author>
      <b:Author>
        <b:NameList>
          <b:Person>
            <b:Last>Schimmelfennig </b:Last>
            <b:First>Frank</b:First>
          </b:Person>
          <b:Person>
            <b:Last>Sedelmeier</b:Last>
            <b:First> Ulrich </b:First>
          </b:Person>
        </b:NameList>
      </b:Author>
    </b:Author>
    <b:RefOrder>53</b:RefOrder>
  </b:Source>
  <b:Source>
    <b:Tag>Har00</b:Tag>
    <b:SourceType>InternetSite</b:SourceType>
    <b:Guid>{3E0180D8-90BF-4F85-B721-8EA5C7842A74}</b:Guid>
    <b:Author>
      <b:Author>
        <b:NameList xmlns:msxsl="urn:schemas-microsoft-com:xslt" xmlns:b="http://schemas.openxmlformats.org/officeDocument/2006/bibliography">
          <b:Person>
            <b:Last>Harmsen</b:Last>
            <b:First>Robert</b:First>
            <b:Middle/>
          </b:Person>
        </b:NameList>
      </b:Author>
    </b:Author>
    <b:Title>EUROPEANIZATION AND GOVERNANCE: A NEW INSTITUTIONALIST PERSPECTIVE</b:Title>
    <b:InternetSiteTitle/>
    <b:ProductionCompany/>
    <b:Year>2000</b:Year>
    <b:Month/>
    <b:Day/>
    <b:YearAccessed>2018</b:YearAccessed>
    <b:MonthAccessed>2</b:MonthAccessed>
    <b:DayAccessed>1</b:DayAccessed>
    <b:URL>http://ceses.cuni.cz/ceses-93-version1-4_2_2.pdf</b:URL>
    <b:Version/>
    <b:ShortTitle/>
    <b:StandardNumber/>
    <b:Comments/>
    <b:Medium/>
    <b:DOI/>
    <b:RefOrder>54</b:RefOrder>
  </b:Source>
  <b:Source>
    <b:Tag>Ols09</b:Tag>
    <b:SourceType>JournalArticle</b:SourceType>
    <b:Guid>{7F9D2072-38EA-41E2-8958-CCF247D01DFE}</b:Guid>
    <b:Author>
      <b:Author>
        <b:NameList xmlns:msxsl="urn:schemas-microsoft-com:xslt" xmlns:b="http://schemas.openxmlformats.org/officeDocument/2006/bibliography">
          <b:Person>
            <b:Last>Olsen</b:Last>
            <b:First>Johan</b:First>
            <b:Middle>P.</b:Middle>
          </b:Person>
        </b:NameList>
      </b:Author>
    </b:Author>
    <b:Title>Change and continuity An institutional approach to institutions of democratic government</b:Title>
    <b:JournalName>European Political Science Review</b:JournalName>
    <b:City/>
    <b:Year>2009</b:Year>
    <b:Month/>
    <b:Day/>
    <b:Pages>3-32</b:Pages>
    <b:Publisher/>
    <b:Volume>1</b:Volume>
    <b:Issue>01</b:Issue>
    <b:ShortTitle/>
    <b:StandardNumber/>
    <b:Comments/>
    <b:Medium/>
    <b:YearAccessed>2018</b:YearAccessed>
    <b:MonthAccessed>2</b:MonthAccessed>
    <b:DayAccessed>1</b:DayAccessed>
    <b:URL>http://econpapers.repec.org/repec:erp:arenax:p0264</b:URL>
    <b:DOI/>
    <b:RefOrder>55</b:RefOrder>
  </b:Source>
  <b:Source>
    <b:Tag>Sch04</b:Tag>
    <b:SourceType>JournalArticle</b:SourceType>
    <b:Guid>{5AE193CE-68AE-4559-8F2A-F01639E92576}</b:Guid>
    <b:Title>Governance by conditionality: EU rule transfer to the candidate countries of Central and Eastern Europe</b:Title>
    <b:JournalName>Journal of European Public Policy</b:JournalName>
    <b:Year>2004</b:Year>
    <b:Pages>661-679</b:Pages>
    <b:Author>
      <b:Author>
        <b:NameList>
          <b:Person>
            <b:Last>Schimmelfennig </b:Last>
            <b:First>Frank</b:First>
          </b:Person>
          <b:Person>
            <b:Last>Sedelmeier</b:Last>
            <b:First>Ulrich</b:First>
          </b:Person>
        </b:NameList>
      </b:Author>
    </b:Author>
    <b:RefOrder>56</b:RefOrder>
  </b:Source>
  <b:Source>
    <b:Tag>Gra07</b:Tag>
    <b:SourceType>Book</b:SourceType>
    <b:Guid>{F47F7646-89F9-47D4-9042-2A18D223224F}</b:Guid>
    <b:Title>Europeanization:New Research Agendas</b:Title>
    <b:Year>2007</b:Year>
    <b:City>London</b:City>
    <b:Publisher>Palgrave Macmillan UK</b:Publisher>
    <b:Author>
      <b:Author>
        <b:NameList>
          <b:Person>
            <b:Last>Graziano</b:Last>
            <b:First>Paolo</b:First>
          </b:Person>
          <b:Person>
            <b:Last>Vink</b:Last>
            <b:First>Maarten</b:First>
          </b:Person>
        </b:NameList>
      </b:Author>
    </b:Author>
    <b:RefOrder>57</b:RefOrder>
  </b:Source>
  <b:Source>
    <b:Tag>Sch121</b:Tag>
    <b:SourceType>JournalArticle</b:SourceType>
    <b:Guid>{5596AADD-4302-4329-BEAE-15BE4E2F6B7B}</b:Guid>
    <b:Title>Europeanization beyond Europe</b:Title>
    <b:JournalName>Living Reviews in European Governance</b:JournalName>
    <b:Year>2012</b:Year>
    <b:Author>
      <b:Author>
        <b:NameList>
          <b:Person>
            <b:Last>Schimmelfennig</b:Last>
            <b:First>Frank</b:First>
          </b:Person>
        </b:NameList>
      </b:Author>
    </b:Author>
    <b:Volume>1</b:Volume>
    <b:Issue>7</b:Issue>
    <b:RefOrder>58</b:RefOrder>
  </b:Source>
  <b:Source>
    <b:Tag>Sch12</b:Tag>
    <b:SourceType>JournalArticle</b:SourceType>
    <b:Guid>{EB078350-0B90-4270-A4A0-AD015A6B8A89}</b:Guid>
    <b:Title>Europeanization beyond Europe</b:Title>
    <b:JournalName>Center for Comparative and International Studies</b:JournalName>
    <b:Year>2012</b:Year>
    <b:Pages>1-31</b:Pages>
    <b:Author>
      <b:Author>
        <b:NameList>
          <b:Person>
            <b:Last>Schimmelfennig</b:Last>
            <b:First>Frank</b:First>
          </b:Person>
        </b:NameList>
      </b:Author>
    </b:Author>
    <b:RefOrder>59</b:RefOrder>
  </b:Source>
  <b:Source>
    <b:Tag>Lav04</b:Tag>
    <b:SourceType>JournalArticle</b:SourceType>
    <b:Guid>{3E6E169E-BCAF-4CDD-A5A9-2911D3F771F8}</b:Guid>
    <b:Title>EU external governance in 'wider Europe'</b:Title>
    <b:JournalName>Journal of European Public Policy</b:JournalName>
    <b:Year>2004</b:Year>
    <b:Pages>680-700</b:Pages>
    <b:Author>
      <b:Author>
        <b:NameList>
          <b:Person>
            <b:Last>Lavenex</b:Last>
            <b:First>Sandra</b:First>
          </b:Person>
        </b:NameList>
      </b:Author>
    </b:Author>
    <b:Volume>11</b:Volume>
    <b:Issue>4</b:Issue>
    <b:RefOrder>60</b:RefOrder>
  </b:Source>
  <b:Source>
    <b:Tag>Fri99</b:Tag>
    <b:SourceType>JournalArticle</b:SourceType>
    <b:Guid>{CCBCFF09-571C-453C-915C-0D29EA660F6E}</b:Guid>
    <b:Title>The European Union and Central and Eastern Europe: Governance and Boundaries</b:Title>
    <b:JournalName>Journal of Common Market Studies</b:JournalName>
    <b:Year>1999</b:Year>
    <b:Pages>211–232</b:Pages>
    <b:Author>
      <b:Author>
        <b:NameList>
          <b:Person>
            <b:Last>Friis</b:Last>
            <b:First>Lykke</b:First>
          </b:Person>
          <b:Person>
            <b:Last>Murphy</b:Last>
            <b:First>Anna</b:First>
          </b:Person>
        </b:NameList>
      </b:Author>
    </b:Author>
    <b:Volume>37</b:Volume>
    <b:Issue>2</b:Issue>
    <b:DOI>10.1111/1468-5965.00160</b:DOI>
    <b:RefOrder>61</b:RefOrder>
  </b:Source>
  <b:Source>
    <b:Tag>Fre07</b:Tag>
    <b:SourceType>JournalArticle</b:SourceType>
    <b:Guid>{3B032455-21EC-4682-B0E5-328FBB2F7AC6}</b:Guid>
    <b:Title>Democracy Between the Lines? EU Promotion of Democratic Governance via Sector-Specific Cooperation</b:Title>
    <b:JournalName>Challenges to Democracy in the 21st</b:JournalName>
    <b:Year>2007</b:Year>
    <b:Pages>20</b:Pages>
    <b:Author>
      <b:Author>
        <b:NameList>
          <b:Person>
            <b:Last>Freyburg</b:Last>
            <b:First>Tina</b:First>
          </b:Person>
          <b:Person>
            <b:Last>Skripka</b:Last>
            <b:First>Tatiana</b:First>
          </b:Person>
          <b:Person>
            <b:Last>Wetzel</b:Last>
            <b:First>Anne</b:First>
          </b:Person>
        </b:NameList>
      </b:Author>
    </b:Author>
    <b:RefOrder>62</b:RefOrder>
  </b:Source>
  <b:Source>
    <b:Tag>Lav09</b:Tag>
    <b:SourceType>JournalArticle</b:SourceType>
    <b:Guid>{74662384-B463-43C8-B202-7B168E178904}</b:Guid>
    <b:Title>The External Governance of EU Internal Security</b:Title>
    <b:JournalName>Journal Of European Integration</b:JournalName>
    <b:Year>2009</b:Year>
    <b:Author>
      <b:Author>
        <b:NameList>
          <b:Person>
            <b:Last>Lavanex</b:Last>
            <b:First>Sandra</b:First>
          </b:Person>
          <b:Person>
            <b:Last>Wichmann</b:Last>
            <b:First>Nicole</b:First>
          </b:Person>
        </b:NameList>
      </b:Author>
    </b:Author>
    <b:Volume>31</b:Volume>
    <b:Issue>1</b:Issue>
    <b:RefOrder>63</b:RefOrder>
  </b:Source>
  <b:Source>
    <b:Tag>Mar04</b:Tag>
    <b:SourceType>JournalArticle</b:SourceType>
    <b:Guid>{D06B5934-0720-489F-8962-C66CE9143CA7}</b:Guid>
    <b:Title>The logic of appropriateness</b:Title>
    <b:JournalName>ARENA Centre for European Stadies</b:JournalName>
    <b:Year>2004</b:Year>
    <b:Author>
      <b:Author>
        <b:NameList>
          <b:Person>
            <b:Last>March </b:Last>
            <b:Middle>James</b:Middle>
            <b:First>G.</b:First>
          </b:Person>
          <b:Person>
            <b:Last>Olsen </b:Last>
            <b:Middle>Johan</b:Middle>
            <b:First>P.</b:First>
          </b:Person>
        </b:NameList>
      </b:Author>
    </b:Author>
    <b:URL>http://www.sv.uio.no/arena/english/research/publications/arena-working-papers/2001-2010/2004/wp04_9.pdf</b:URL>
    <b:RefOrder>64</b:RefOrder>
  </b:Source>
  <b:Source>
    <b:Tag>Fea03</b:Tag>
    <b:SourceType>Book</b:SourceType>
    <b:Guid>{D6922CCB-CF01-4E91-9AE5-BDEAD9E300BD}</b:Guid>
    <b:Title>The Politics of Europeanisation</b:Title>
    <b:Year>2003</b:Year>
    <b:City>New York</b:City>
    <b:Publisher>Oxford University Press</b:Publisher>
    <b:Author>
      <b:Author>
        <b:NameList>
          <b:Person>
            <b:Last>Featherstone</b:Last>
            <b:First>Kevin</b:First>
          </b:Person>
          <b:Person>
            <b:Last>Radaelli</b:Last>
            <b:Middle>M.</b:Middle>
            <b:First>Claudio</b:First>
          </b:Person>
        </b:NameList>
      </b:Author>
    </b:Author>
    <b:RefOrder>65</b:RefOrder>
  </b:Source>
  <b:Source>
    <b:Tag>Pet13</b:Tag>
    <b:SourceType>Book</b:SourceType>
    <b:Guid>{86CE76EB-E8DB-4258-83DD-E238E52D502A}</b:Guid>
    <b:Title>The Democratic Transition of Post-Communist Europe: In the Shadow of Communist Differences and Uneven EUropeanisation</b:Title>
    <b:Year>2013</b:Year>
    <b:City>London</b:City>
    <b:Publisher>The Palgrave Macmillan</b:Publisher>
    <b:Author>
      <b:Author>
        <b:NameList>
          <b:Person>
            <b:Last>Petrovic</b:Last>
            <b:First>Milenko</b:First>
          </b:Person>
        </b:NameList>
      </b:Author>
    </b:Author>
    <b:Pages>131-139</b:Pages>
    <b:RefOrder>66</b:RefOrder>
  </b:Source>
  <b:Source>
    <b:Tag>Eur15</b:Tag>
    <b:SourceType>ElectronicSource</b:SourceType>
    <b:Guid>{D566C35D-139F-4855-BD23-71CE0E17ADE0}</b:Guid>
    <b:Title>The Western Balkans and EU Enlargement: Lessons learned, ways forward and prospects ahead</b:Title>
    <b:Year>2015</b:Year>
    <b:Author>
      <b:Author>
        <b:NameList>
          <b:Person>
            <b:Last>European Parliament</b:Last>
          </b:Person>
        </b:NameList>
      </b:Author>
    </b:Author>
    <b:Publisher>Policy Department, Directorate-General for External Policies</b:Publisher>
    <b:City>Brussels</b:City>
    <b:RefOrder>67</b:RefOrder>
  </b:Source>
  <b:Source>
    <b:Tag>Sch041</b:Tag>
    <b:SourceType>JournalArticle</b:SourceType>
    <b:Guid>{B42F9B0D-8B4E-4AEB-A918-754EDDDF3B5C}</b:Guid>
    <b:Title>Governance by Conditionality: EU Rule Transfer to the Candidate Countries of Central and Eastern Europe</b:Title>
    <b:JournalName>Journal of European Public Policy 11</b:JournalName>
    <b:Year>2004</b:Year>
    <b:Pages>669-687</b:Pages>
    <b:Author>
      <b:Author>
        <b:NameList>
          <b:Person>
            <b:Last>Schimmelfennig</b:Last>
            <b:First>Frank</b:First>
          </b:Person>
        </b:NameList>
      </b:Author>
    </b:Author>
    <b:RefOrder>68</b:RefOrder>
  </b:Source>
  <b:Source>
    <b:Tag>Lav11</b:Tag>
    <b:SourceType>JournalArticle</b:SourceType>
    <b:Guid>{67F8626B-BF1B-4CD0-9CEF-7C832F697E53}</b:Guid>
    <b:Title>EU Democracy Promotion in the Neighbourhood: From Leverage to Governance?</b:Title>
    <b:Pages>885-905</b:Pages>
    <b:Year>2011</b:Year>
    <b:Author>
      <b:Author>
        <b:NameList>
          <b:Person>
            <b:Last>Lavenex</b:Last>
            <b:First>Sandra</b:First>
          </b:Person>
          <b:Person>
            <b:Last>Schimmelfennig</b:Last>
            <b:First>Frank</b:First>
          </b:Person>
        </b:NameList>
      </b:Author>
    </b:Author>
    <b:JournalName>Democratization</b:JournalName>
    <b:RefOrder>69</b:RefOrder>
  </b:Source>
  <b:Source>
    <b:Tag>Pet15</b:Tag>
    <b:SourceType>BookSection</b:SourceType>
    <b:Guid>{37B8DA4E-2C06-4D81-B83E-4C1988FF5872}</b:Guid>
    <b:Title>The European Union and its post-communist neighbours: EU enlargement and the European Neighbourhood Policy</b:Title>
    <b:Year>2015</b:Year>
    <b:Pages>197–215</b:Pages>
    <b:BookTitle>The European Union and Global Engagement: Institutions, Policies and Challenges</b:BookTitle>
    <b:City>Cheltenham</b:City>
    <b:Publisher>Edward Elgar Publishing Limited</b:Publisher>
    <b:Author>
      <b:Author>
        <b:NameList>
          <b:Person>
            <b:Last>Petrovic</b:Last>
            <b:First>Milenko</b:First>
          </b:Person>
          <b:Person>
            <b:Last>Klatt</b:Last>
            <b:First>Malgorzata</b:First>
          </b:Person>
        </b:NameList>
      </b:Author>
      <b:Editor>
        <b:NameList>
          <b:Person>
            <b:Last>Witzleb</b:Last>
            <b:First>Normann</b:First>
          </b:Person>
          <b:Person>
            <b:Last>Martínez </b:Last>
            <b:Middle>Arranz</b:Middle>
            <b:First>Alfonso</b:First>
          </b:Person>
          <b:Person>
            <b:Last>Winand</b:Last>
            <b:First>Pascaline</b:First>
          </b:Person>
        </b:NameList>
      </b:Editor>
    </b:Author>
    <b:RefOrder>70</b:RefOrder>
  </b:Source>
  <b:Source>
    <b:Tag>Sch07</b:Tag>
    <b:SourceType>ConferenceProceedings</b:SourceType>
    <b:Guid>{1EDC9D76-112A-47D9-910E-D082F4EF12C6}</b:Guid>
    <b:Title>EU Democracy Promotion in the European Neighborhood: Conditionality, Economic Development, and Linkage</b:Title>
    <b:Year>2007</b:Year>
    <b:Pages>31</b:Pages>
    <b:Author>
      <b:Author>
        <b:NameList>
          <b:Person>
            <b:Last>Schimmelfennig</b:Last>
            <b:First>Frank</b:First>
          </b:Person>
          <b:Person>
            <b:Last>Scholtz</b:Last>
            <b:First>Hanno</b:First>
          </b:Person>
        </b:NameList>
      </b:Author>
    </b:Author>
    <b:ConferenceName>EUSA Biennial Conference</b:ConferenceName>
    <b:City>Monreal</b:City>
    <b:RefOrder>71</b:RefOrder>
  </b:Source>
  <b:Source>
    <b:Tag>Fre11</b:Tag>
    <b:SourceType>JournalArticle</b:SourceType>
    <b:Guid>{06DAB761-E607-482A-9EBC-3A62C354F58E}</b:Guid>
    <b:Title>Democracy promotion through through Functional Cooperation? The Case of the European Neighbourhood Policy</b:Title>
    <b:JournalName>Democratization</b:JournalName>
    <b:Year>2011</b:Year>
    <b:Pages>1026–1054</b:Pages>
    <b:Author>
      <b:Author>
        <b:NameList>
          <b:Person>
            <b:Last>Freyburg</b:Last>
            <b:First>Tina</b:First>
          </b:Person>
          <b:Person>
            <b:Last>Lavenex</b:Last>
            <b:First>Sandra</b:First>
          </b:Person>
          <b:Person>
            <b:Last>Schimmelfennig</b:Last>
            <b:First>Frank</b:First>
          </b:Person>
          <b:Person>
            <b:Last>Skripka</b:Last>
            <b:First>Tatiana</b:First>
          </b:Person>
        </b:NameList>
      </b:Author>
    </b:Author>
    <b:Volume>18</b:Volume>
    <b:Issue>4</b:Issue>
    <b:RefOrder>72</b:RefOrder>
  </b:Source>
  <b:Source>
    <b:Tag>Sta13</b:Tag>
    <b:SourceType>Report</b:SourceType>
    <b:Guid>{FF0347C4-4D6D-484E-8AE5-611BD5F12ABE}</b:Guid>
    <b:Title>A European Supra-National Identity: The Solution to the European Union’s Crisis of Legitimacy?</b:Title>
    <b:Year>2013</b:Year>
    <b:Author>
      <b:Author>
        <b:NameList>
          <b:Person>
            <b:Last>Stanley</b:Last>
            <b:First>Luke</b:First>
          </b:Person>
        </b:NameList>
      </b:Author>
    </b:Author>
    <b:Publisher>The Bruges Group</b:Publisher>
    <b:City>London</b:City>
    <b:ThesisType>Report</b:ThesisType>
    <b:RefOrder>1</b:RefOrder>
  </b:Source>
  <b:Source>
    <b:Tag>Wal09</b:Tag>
    <b:SourceType>ArticleInAPeriodical</b:SourceType>
    <b:Guid>{6FDADA2F-9568-FC40-BFEF-6055EED43A47}</b:Guid>
    <b:Title>The Conceptual Spectrum of European Identity - From Missing Link to Unnecessary Evil</b:Title>
    <b:Year>2009</b:Year>
    <b:Publisher>University of Limerick</b:Publisher>
    <b:PeriodicalTitle>Limerick Papers in Politics and Public Administration</b:PeriodicalTitle>
    <b:Pages>1-23</b:Pages>
    <b:Author>
      <b:Author>
        <b:NameList>
          <b:Person>
            <b:Last>Walkenhorst</b:Last>
            <b:First>Heiko</b:First>
          </b:Person>
        </b:NameList>
      </b:Author>
    </b:Author>
    <b:Volume>3</b:Volume>
    <b:RefOrder>2</b:RefOrder>
  </b:Source>
  <b:Source>
    <b:Tag>Del19</b:Tag>
    <b:SourceType>Book</b:SourceType>
    <b:Guid>{0EBD9DC5-6F79-CF42-8BD7-65527F620D0B}</b:Guid>
    <b:Title>Formations of European Modernity - A Historical and Political Sociology of Europe</b:Title>
    <b:City>Cham</b:City>
    <b:Publisher>Palgrave Macmillan</b:Publisher>
    <b:Year>2019</b:Year>
    <b:Author>
      <b:Author>
        <b:NameList>
          <b:Person>
            <b:Last>Delanty</b:Last>
            <b:First>Gerard</b:First>
          </b:Person>
        </b:NameList>
      </b:Author>
    </b:Author>
    <b:CountryRegion>Switzerland</b:CountryRegion>
    <b:RefOrder>3</b:RefOrder>
  </b:Source>
  <b:Source>
    <b:Tag>Bor97</b:Tag>
    <b:SourceType>JournalArticle</b:SourceType>
    <b:Guid>{9C1B145C-05C9-4745-BF60-F9AA1A99A988}</b:Guid>
    <b:Title>Europeanization</b:Title>
    <b:JournalName>Annual Review of Anthropology</b:JournalName>
    <b:Year>1997</b:Year>
    <b:Pages>487-514</b:Pages>
    <b:Author>
      <b:Author>
        <b:NameList>
          <b:Person>
            <b:Last>Borneman</b:Last>
            <b:First>John</b:First>
          </b:Person>
          <b:Person>
            <b:Last>Fowler</b:Last>
            <b:First>Nick</b:First>
          </b:Person>
        </b:NameList>
      </b:Author>
    </b:Author>
    <b:Volume>26</b:Volume>
    <b:RefOrder>4</b:RefOrder>
  </b:Source>
  <b:Source>
    <b:Tag>Cas04</b:Tag>
    <b:SourceType>BookSection</b:SourceType>
    <b:Guid>{65E8CCB4-7319-174B-97E7-1E9771FF08D3}</b:Guid>
    <b:Title>European Identity: A Social-Psychological Perspective</b:Title>
    <b:Year>2004</b:Year>
    <b:Publisher>Rowmann &amp; Littlefield</b:Publisher>
    <b:City>Lanham</b:City>
    <b:Pages>40-58</b:Pages>
    <b:Author>
      <b:Author>
        <b:NameList>
          <b:Person>
            <b:Last>Castano</b:Last>
            <b:First>Emanuele</b:First>
          </b:Person>
        </b:NameList>
      </b:Author>
      <b:Editor>
        <b:NameList>
          <b:Person>
            <b:Last>Herrmann</b:Last>
            <b:Middle>K.</b:Middle>
            <b:First>Richard</b:First>
          </b:Person>
          <b:Person>
            <b:Last>Risse-Kappen</b:Last>
            <b:First>Thomas</b:First>
          </b:Person>
          <b:Person>
            <b:Last>Brewer</b:Last>
            <b:Middle>B.</b:Middle>
            <b:First>Marilynn</b:First>
          </b:Person>
        </b:NameList>
      </b:Editor>
    </b:Author>
    <b:BookTitle>Transnational Identities: Becoming European in the EU</b:BookTitle>
    <b:CountryRegion>USA</b:CountryRegion>
    <b:RefOrder>5</b:RefOrder>
  </b:Source>
  <b:Source>
    <b:Tag>Cer01</b:Tag>
    <b:SourceType>Book</b:SourceType>
    <b:Guid>{CCF934D7-F5AD-1840-A15B-FDFB56441DDA}</b:Guid>
    <b:Title>A Soul for Europe: On the Political and Cultural Identity of the Europeans</b:Title>
    <b:City>Leuven</b:City>
    <b:Publisher>Peeters</b:Publisher>
    <b:Year>2001</b:Year>
    <b:Author>
      <b:Editor>
        <b:NameList>
          <b:Person>
            <b:Last>Cerutti</b:Last>
            <b:First>Furio</b:First>
          </b:Person>
          <b:Person>
            <b:Last>Rudolph</b:Last>
            <b:First>Enno</b:First>
          </b:Person>
        </b:NameList>
      </b:Editor>
    </b:Author>
    <b:RefOrder>6</b:RefOrder>
  </b:Source>
  <b:Source>
    <b:Tag>Del03</b:Tag>
    <b:SourceType>JournalArticle</b:SourceType>
    <b:Guid>{F041F409-E0F7-A342-A1B6-F3B0F8367566}</b:Guid>
    <b:Title>Is There a European Identity?</b:Title>
    <b:JournalName>Global Dialogue</b:JournalName>
    <b:Year>2003</b:Year>
    <b:Month>June</b:Month>
    <b:Volume>3-4</b:Volume>
    <b:Pages>76-86</b:Pages>
    <b:Author>
      <b:Author>
        <b:NameList>
          <b:Person>
            <b:Last>Delanty</b:Last>
            <b:First>Gerard</b:First>
          </b:Person>
        </b:NameList>
      </b:Author>
    </b:Author>
    <b:RefOrder>7</b:RefOrder>
  </b:Source>
  <b:Source>
    <b:Tag>Eur121</b:Tag>
    <b:SourceType>Report</b:SourceType>
    <b:Guid>{42998096-37D5-EE45-B3C6-1F5CF7996C64}</b:Guid>
    <b:Title>The Development of European Identity / Identities: Unfinished Business</b:Title>
    <b:City>Brussels</b:City>
    <b:Publisher>European Commission - Directorate General for Research &amp; Innovation</b:Publisher>
    <b:Year>2012</b:Year>
    <b:ThesisType>Policy Review</b:ThesisType>
    <b:Author>
      <b:Author>
        <b:Corporate>European Commission</b:Corporate>
      </b:Author>
    </b:Author>
    <b:RefOrder>8</b:RefOrder>
  </b:Source>
  <b:Source>
    <b:Tag>Eur14</b:Tag>
    <b:SourceType>ConferenceProceedings</b:SourceType>
    <b:Guid>{8EC81D97-8F56-FF4A-9E47-A58202340CC5}</b:Guid>
    <b:Title>New Narrative for Europe</b:Title>
    <b:Publisher>European Commission - Cultural Committee</b:Publisher>
    <b:City>Brussels</b:City>
    <b:Year>2014</b:Year>
    <b:Author>
      <b:Author>
        <b:Corporate>European Commission</b:Corporate>
      </b:Author>
    </b:Author>
    <b:ConferenceName>Cultural Committe for the "New Narrative for Europe" Project</b:ConferenceName>
    <b:Pages>1-4</b:Pages>
    <b:RefOrder>9</b:RefOrder>
  </b:Source>
  <b:Source>
    <b:Tag>Pru17</b:Tag>
    <b:SourceType>Report</b:SourceType>
    <b:Guid>{EDC68076-86C7-534A-B5CF-D37C011895D8}</b:Guid>
    <b:Title>Research for CULT Committee - European Identity</b:Title>
    <b:City>Brussels</b:City>
    <b:Publisher>European Parliament</b:Publisher>
    <b:Year>2017</b:Year>
    <b:ThesisType>Study</b:ThesisType>
    <b:Author>
      <b:Author>
        <b:NameList>
          <b:Person>
            <b:Last>Prutsch</b:Last>
            <b:First>Markus</b:First>
          </b:Person>
        </b:NameList>
      </b:Author>
    </b:Author>
    <b:Institution>Directorate-General for Internal Policies</b:Institution>
    <b:Department>Policy Department for Structural and Cohesion Policies</b:Department>
    <b:RefOrder>10</b:RefOrder>
  </b:Source>
  <b:Source>
    <b:Tag>Eur20</b:Tag>
    <b:SourceType>Report</b:SourceType>
    <b:Guid>{ECD4A8AB-A5F6-2348-A116-53D5C9404FD2}</b:Guid>
    <b:Author>
      <b:Author>
        <b:Corporate>European Parliament</b:Corporate>
      </b:Author>
    </b:Author>
    <b:Title>Further Political Integration in Europe - A Political Compact for a More Democratic and Effective Union?</b:Title>
    <b:Publisher>Directorate-General for Internal Policies - Policy Department for Citizens' Rights and Constitutional Affairs</b:Publisher>
    <b:City>Brussels</b:City>
    <b:ThesisType>Study requested by the Committee on Constitutional Affairs (AFCO)</b:ThesisType>
    <b:Year>2020</b:Year>
    <b:RefOrder>11</b:RefOrder>
  </b:Source>
  <b:Source>
    <b:Tag>Hab09</b:Tag>
    <b:SourceType>Book</b:SourceType>
    <b:Guid>{2630E793-59F7-6340-99B1-BDEB565B44A6}</b:Guid>
    <b:Title>Europe: The Faltering Project</b:Title>
    <b:City>Boston</b:City>
    <b:Publisher>Polity</b:Publisher>
    <b:Year>2009</b:Year>
    <b:Author>
      <b:Author>
        <b:NameList>
          <b:Person>
            <b:Last>Habermas</b:Last>
            <b:First>Jürgen</b:First>
          </b:Person>
        </b:NameList>
      </b:Author>
    </b:Author>
    <b:RefOrder>12</b:RefOrder>
  </b:Source>
  <b:Source>
    <b:Tag>Eur18</b:Tag>
    <b:SourceType>InternetSite</b:SourceType>
    <b:Guid>{885F4413-78F0-304C-9988-F52B19DFF4F6}</b:Guid>
    <b:Author>
      <b:Author>
        <b:Corporate>Eurobarometer</b:Corporate>
      </b:Author>
    </b:Author>
    <b:Title>European Commission</b:Title>
    <b:InternetSiteTitle>Public Opinion</b:InternetSiteTitle>
    <b:URL>https://ec.europa.eu/commfrontoffice/publicopinion/index.cfm/Chart/getChart/themeKy/26/groupKy/159</b:URL>
    <b:Year>2018</b:Year>
    <b:Month>November</b:Month>
    <b:YearAccessed>2019</b:YearAccessed>
    <b:MonthAccessed>September</b:MonthAccessed>
    <b:DayAccessed>2nd</b:DayAccessed>
    <b:RefOrder>13</b:RefOrder>
  </b:Source>
  <b:Source>
    <b:Tag>Placeholder1</b:Tag>
    <b:SourceType>JournalArticle</b:SourceType>
    <b:Guid>{3F050BD5-3300-7A40-8B6F-72B2B9B27AE4}</b:Guid>
    <b:Title>National Identity and the Idea of European Unity</b:Title>
    <b:JournalName>International Affairs</b:JournalName>
    <b:Publisher>Royal Institute of International Affairs</b:Publisher>
    <b:Year>1992</b:Year>
    <b:Month>January</b:Month>
    <b:Volume>68</b:Volume>
    <b:Issue>1</b:Issue>
    <b:Pages>55-76</b:Pages>
    <b:Author>
      <b:Author>
        <b:NameList>
          <b:Person>
            <b:Last>Smith</b:Last>
            <b:First>Anthony</b:First>
          </b:Person>
        </b:NameList>
      </b:Author>
    </b:Author>
    <b:RefOrder>14</b:RefOrder>
  </b:Source>
  <b:Source>
    <b:Tag>Bru05</b:Tag>
    <b:SourceType>Book</b:SourceType>
    <b:Guid>{EDC8B172-9039-8548-ACD4-0E69CF594F9D}</b:Guid>
    <b:Title>Citizens of Europe? The Emergence of a Mass European Identity</b:Title>
    <b:Publisher>Palgrave Macmillian</b:Publisher>
    <b:City>New York</b:City>
    <b:Year>2005</b:Year>
    <b:CountryRegion>United States</b:CountryRegion>
    <b:Author>
      <b:Author>
        <b:NameList>
          <b:Person>
            <b:Last>Bruter</b:Last>
            <b:First>Michael</b:First>
          </b:Person>
        </b:NameList>
      </b:Author>
    </b:Author>
    <b:RefOrder>15</b:RefOrder>
  </b:Source>
  <b:Source xmlns:b="http://schemas.openxmlformats.org/officeDocument/2006/bibliography">
    <b:Tag>Pru20</b:Tag>
    <b:SourceType>Interview</b:SourceType>
    <b:Guid>{CADE097C-07D2-EA4F-9BE4-3289F9419E60}</b:Guid>
    <b:Title>Senior Administrator, Directorate-General for Internal Policies of the Union, European Parliament</b:Title>
    <b:Year>2020</b:Year>
    <b:Month>June</b:Month>
    <b:Day>26th</b:Day>
    <b:Author>
      <b:Interviewee>
        <b:NameList>
          <b:Person>
            <b:Last>Prutsch</b:Last>
            <b:First>Markus</b:First>
          </b:Person>
        </b:NameList>
      </b:Interviewee>
      <b:Interviewer>
        <b:NameList>
          <b:Person>
            <b:Last>Grimm</b:Last>
            <b:First>Julian</b:First>
          </b:Person>
        </b:NameList>
      </b:Interviewer>
    </b:Author>
    <b:RefOrder>16</b:RefOrder>
  </b:Source>
  <b:Source>
    <b:Tag>Del191</b:Tag>
    <b:SourceType>Book</b:SourceType>
    <b:Guid>{1E439951-9E35-7945-99F8-045FF4590529}</b:Guid>
    <b:Title>Formations of European Modernity</b:Title>
    <b:Publisher>Springer International Publishing</b:Publisher>
    <b:City>Cham, Switzerland</b:City>
    <b:Year>2019</b:Year>
    <b:Author>
      <b:Author>
        <b:NameList>
          <b:Person>
            <b:Last>Delanty</b:Last>
            <b:First>Gerard</b:First>
          </b:Person>
        </b:NameList>
      </b:Author>
    </b:Author>
    <b:RefOrder>17</b:RefOrder>
  </b:Source>
  <b:Source>
    <b:Tag>Tek20</b:Tag>
    <b:SourceType>DocumentFromInternetSite</b:SourceType>
    <b:Guid>{362084BA-2486-314E-AB0D-B560078C5B25}</b:Guid>
    <b:Title>The ‘European (Union) Identity’: An Overview</b:Title>
    <b:Year>2020</b:Year>
    <b:Month>April</b:Month>
    <b:Day>15</b:Day>
    <b:Pages>1-6</b:Pages>
    <b:JournalName>E-International Relations</b:JournalName>
    <b:Author>
      <b:Author>
        <b:NameList>
          <b:Person>
            <b:Last>Tekiner</b:Last>
            <b:First>Ugur</b:First>
          </b:Person>
        </b:NameList>
      </b:Author>
    </b:Author>
    <b:InternetSiteTitle>E-International Relations</b:InternetSiteTitle>
    <b:URL>https://www.e-ir.info/2020/04/15/the-european-union-identity-an-overview/</b:URL>
    <b:YearAccessed>June</b:YearAccessed>
    <b:MonthAccessed>10</b:MonthAccessed>
    <b:RefOrder>18</b:RefOrder>
  </b:Source>
  <b:Source>
    <b:Tag>Eur12</b:Tag>
    <b:SourceType>Report</b:SourceType>
    <b:Guid>{BA0F77DC-03F4-6F4F-8C9A-64085D6DCB9A}</b:Guid>
    <b:Title>The Development of European Identity / Identities: Unfinished Business</b:Title>
    <b:Year>2012</b:Year>
    <b:Publisher>Directorate General for Research and Innovation - Socio-economic Sciences and Humanities</b:Publisher>
    <b:City>Brussels</b:City>
    <b:ThesisType>Policy Review</b:ThesisType>
    <b:Author>
      <b:Author>
        <b:Corporate>European Commission</b:Corporate>
      </b:Author>
    </b:Author>
    <b:RefOrder>19</b:RefOrder>
  </b:Source>
  <b:Source>
    <b:Tag>Eur731</b:Tag>
    <b:SourceType>ConferenceProceedings</b:SourceType>
    <b:Guid>{3886A1F0-498B-2840-A857-57307418C8F6}</b:Guid>
    <b:Title>Declaration on European Identity</b:Title>
    <b:Year>1973</b:Year>
    <b:Pages>118-122</b:Pages>
    <b:Author>
      <b:Author>
        <b:Corporate>European Communities</b:Corporate>
      </b:Author>
    </b:Author>
    <b:ConferenceName>Bulletin of the European Communities</b:ConferenceName>
    <b:Publisher>Office for Official Publications of the European Communities</b:Publisher>
    <b:City>Luxembourg</b:City>
    <b:Volume>12</b:Volume>
    <b:RefOrder>20</b:RefOrder>
  </b:Source>
  <b:Source>
    <b:Tag>Str02</b:Tag>
    <b:SourceType>JournalArticle</b:SourceType>
    <b:Guid>{D74B15D9-FD9C-0242-B07E-5AE18D37E0A9}</b:Guid>
    <b:Title>A European Identity - To the Historical Limits of a Concept</b:Title>
    <b:Year>2002</b:Year>
    <b:JournalName>European Journal of Social Theory</b:JournalName>
    <b:Pages>387-401</b:Pages>
    <b:Author>
      <b:Author>
        <b:NameList>
          <b:Person>
            <b:Last>Stråth</b:Last>
            <b:First>Bo</b:First>
          </b:Person>
        </b:NameList>
      </b:Author>
    </b:Author>
    <b:RefOrder>21</b:RefOrder>
  </b:Source>
  <b:Source>
    <b:Tag>Kar99</b:Tag>
    <b:SourceType>BookSection</b:SourceType>
    <b:Guid>{6486016B-D5F3-1E4E-9CD2-0D991ADF998F}</b:Guid>
    <b:Title>How to define the European identity today and in the future?</b:Title>
    <b:Year>1999</b:Year>
    <b:Pages>63-72</b:Pages>
    <b:BookTitle>Reflections on European Identity</b:BookTitle>
    <b:City>Brussels</b:City>
    <b:Publisher>European Commission</b:Publisher>
    <b:Author>
      <b:Author>
        <b:NameList>
          <b:Person>
            <b:Last>Karlsson</b:Last>
            <b:First>Ingmar</b:First>
          </b:Person>
        </b:NameList>
      </b:Author>
      <b:BookAuthor>
        <b:NameList>
          <b:Person>
            <b:Last>Jansen</b:Last>
            <b:First>Thomas</b:First>
          </b:Person>
        </b:NameList>
      </b:BookAuthor>
    </b:Author>
    <b:RefOrder>22</b:RefOrder>
  </b:Source>
  <b:Source>
    <b:Tag>Eur17</b:Tag>
    <b:SourceType>Report</b:SourceType>
    <b:Guid>{F0D4B0A8-193B-EB40-8736-80BFF2AB7B32}</b:Guid>
    <b:Author>
      <b:Author>
        <b:Corporate>European Commission</b:Corporate>
      </b:Author>
    </b:Author>
    <b:Title>Horizon 2020 - Work Programme 2016-2017 - Europe in a changing world - inclusive, innovative and reflective Societies</b:Title>
    <b:Publisher>European Commission</b:Publisher>
    <b:City>Brussels</b:City>
    <b:ThesisType>Work Programme</b:ThesisType>
    <b:Year>2017</b:Year>
    <b:RefOrder>23</b:RefOrder>
  </b:Source>
  <b:Source>
    <b:Tag>Kai151</b:Tag>
    <b:SourceType>JournalArticle</b:SourceType>
    <b:Guid>{7BB1B25F-DB10-1E4E-B5EA-B43D103A2417}</b:Guid>
    <b:Title>Clash of Cultures: Two Milieus in the European Union's 'A New Narrative for Europe' Project</b:Title>
    <b:Year>2015</b:Year>
    <b:Pages>364-377</b:Pages>
    <b:JournalName>Journal of Contemporary European Studies</b:JournalName>
    <b:Author>
      <b:Author>
        <b:NameList>
          <b:Person>
            <b:Last>Kaiser</b:Last>
            <b:First>Wolfram</b:First>
          </b:Person>
        </b:NameList>
      </b:Author>
    </b:Author>
    <b:RefOrder>24</b:RefOrder>
  </b:Source>
  <b:Source>
    <b:Tag>Ber10</b:Tag>
    <b:SourceType>Book</b:SourceType>
    <b:Guid>{37314DFF-1CAA-114A-93E9-5C9089DB2F7A}</b:Guid>
    <b:Title>Nationalizing the Past: Historians as Nation Builders in Modern Europe</b:Title>
    <b:Year>2010</b:Year>
    <b:City>Basingstoke</b:City>
    <b:Publisher>Palgrave</b:Publisher>
    <b:Author>
      <b:Editor>
        <b:NameList>
          <b:Person>
            <b:Last>Berger</b:Last>
            <b:First>Stefan</b:First>
          </b:Person>
          <b:Person>
            <b:Last>Lorenz</b:Last>
            <b:First>Chris</b:First>
          </b:Person>
        </b:NameList>
      </b:Editor>
    </b:Author>
    <b:RefOrder>25</b:RefOrder>
  </b:Source>
  <b:Source>
    <b:Tag>Eur171</b:Tag>
    <b:SourceType>Report</b:SourceType>
    <b:Guid>{C6827CE5-13A8-AB46-AAD6-F7DF255CC0B4}</b:Guid>
    <b:Author>
      <b:Author>
        <b:Corporate>European Commission</b:Corporate>
      </b:Author>
    </b:Author>
    <b:Title>Strengthening European Identity through Education and Culture</b:Title>
    <b:Publisher>European Commission</b:Publisher>
    <b:City>Gothenburg, Sweden</b:City>
    <b:ThesisType>Communication</b:ThesisType>
    <b:Year>2017</b:Year>
    <b:RefOrder>26</b:RefOrder>
  </b:Source>
  <b:Source>
    <b:Tag>Eur202</b:Tag>
    <b:SourceType>Report</b:SourceType>
    <b:Guid>{5C13E864-44BD-C34A-850B-25E2F0048BEB}</b:Guid>
    <b:Author>
      <b:Author>
        <b:Corporate>European Parliament</b:Corporate>
      </b:Author>
    </b:Author>
    <b:Title>Possible Avenues for Further Political Integration in Europe - A Political Compact for a More Democratic and Effective Union?</b:Title>
    <b:Publisher>Policy Department for Citizens' Rights and Constitutional Affairs - Directorate-General for Internal Policies</b:Publisher>
    <b:City>Brussels</b:City>
    <b:ThesisType>Study</b:ThesisType>
    <b:Year>2020</b:Year>
    <b:RefOrder>27</b:RefOrder>
  </b:Source>
  <b:Source>
    <b:Tag>Kli21</b:Tag>
    <b:SourceType>JournalArticle</b:SourceType>
    <b:Guid>{1DB168BB-932F-483A-8A15-7B27BF0CA53A}</b:Guid>
    <b:Author>
      <b:Author>
        <b:NameList>
          <b:Person>
            <b:Last>Kliem</b:Last>
            <b:First>Frederick</b:First>
          </b:Person>
        </b:NameList>
      </b:Author>
    </b:Author>
    <b:Title>ASEAN and the EU amidst COVID-19: overcoming the self-fulfilling prophecy of realism</b:Title>
    <b:JournalName>Asia Europe Journal</b:JournalName>
    <b:Year>2021</b:Year>
    <b:URL>https://link.springer.com/article/10.1007%2Fs10308-021-00604-8</b:URL>
    <b:RefOrder>1</b:RefOrder>
  </b:Source>
  <b:Source>
    <b:Tag>Cam20</b:Tag>
    <b:SourceType>JournalArticle</b:SourceType>
    <b:Guid>{45B6CA58-25EB-4F92-99E7-8FFA14E9E086}</b:Guid>
    <b:Author>
      <b:Author>
        <b:NameList>
          <b:Person>
            <b:Last>Cameron</b:Last>
            <b:First>Fraser</b:First>
          </b:Person>
        </b:NameList>
      </b:Author>
    </b:Author>
    <b:Title>EU-Asia should defend multilateralism</b:Title>
    <b:JournalName>Asia Europe Journal</b:JournalName>
    <b:Year>2020</b:Year>
    <b:Pages>217-221</b:Pages>
    <b:Month>May</b:Month>
    <b:Day>22</b:Day>
    <b:URL>https://link.springer.com/article/10.1007/s10308-020-00574-3</b:URL>
    <b:RefOrder>2</b:RefOrder>
  </b:Source>
  <b:Source>
    <b:Tag>Yeo20</b:Tag>
    <b:SourceType>JournalArticle</b:SourceType>
    <b:Guid>{0BABA0BD-4CEB-4498-A387-B6CF51A51509}</b:Guid>
    <b:Author>
      <b:Author>
        <b:NameList>
          <b:Person>
            <b:Last>Yeo</b:Last>
            <b:First>Lay</b:First>
            <b:Middle>Hwee</b:Middle>
          </b:Person>
        </b:NameList>
      </b:Author>
    </b:Author>
    <b:Title>Impact of Covid-19 pandemic on Asia-Europe relations</b:Title>
    <b:JournalName>Asia Europe Journal</b:JournalName>
    <b:Year>2020</b:Year>
    <b:Pages>235-238</b:Pages>
    <b:Month>May</b:Month>
    <b:Day>19</b:Day>
    <b:URL>https://link.springer.com/article/10.1007%2Fs10308-020-00575-2</b:URL>
    <b:RefOrder>3</b:RefOrder>
  </b:Source>
  <b:Source>
    <b:Tag>Sap20</b:Tag>
    <b:SourceType>JournalArticle</b:SourceType>
    <b:Guid>{F7D216FF-16A5-4B6D-BCCA-640D0A121F0A}</b:Guid>
    <b:Author>
      <b:Author>
        <b:NameList>
          <b:Person>
            <b:Last>Sapir</b:Last>
            <b:First>André</b:First>
          </b:Person>
        </b:NameList>
      </b:Author>
    </b:Author>
    <b:Title>Why has COVID-19 hit different European Union economies so differently?</b:Title>
    <b:JournalName>Bruegel Policy Contribution</b:JournalName>
    <b:Year>2020</b:Year>
    <b:URL>https://www.bruegel.org/wp-content/uploads/2020/09/PC-18-2020-22092020-final.pdf</b:URL>
    <b:RefOrder>4</b:RefOrder>
  </b:Source>
  <b:Source>
    <b:Tag>Haa03</b:Tag>
    <b:SourceType>JournalArticle</b:SourceType>
    <b:Guid>{A7ECE439-5690-486F-926C-4E0E0187C6EA}</b:Guid>
    <b:Title>ASEAN's diplomatic and security culture: a constructivist assessment</b:Title>
    <b:Year>2003</b:Year>
    <b:URL>https://www.jstor.org/stable/26156589</b:URL>
    <b:Author>
      <b:Author>
        <b:NameList>
          <b:Person>
            <b:Last>Haacke</b:Last>
            <b:First>Jürgen</b:First>
          </b:Person>
        </b:NameList>
      </b:Author>
    </b:Author>
    <b:JournalName>International Relations of the Asia-Pacific</b:JournalName>
    <b:Pages>57-87</b:Pages>
    <b:Volume>3</b:Volume>
    <b:Issue>1</b:Issue>
    <b:RefOrder>5</b:RefOrder>
  </b:Source>
  <b:Source>
    <b:Tag>Bri99</b:Tag>
    <b:SourceType>JournalArticle</b:SourceType>
    <b:Guid>{9A078D0A-936A-4F00-B635-AB6F15A57DB8}</b:Guid>
    <b:Title>Europe and the Asian Financial Crisis: Coping with Contagion</b:Title>
    <b:Year>1999</b:Year>
    <b:URL>https://www-jstor-org.ezprimo1.idc.ac.il/stable/3021208?Search=yes&amp;resultItemClick=true&amp;searchText=Europe+and+the+Asian+financial+crisis&amp;searchUri=%2Faction%2FdoBasicSearch%3FQuery%3DEurope%2Band%2Bthe%2BAsian%2Bfinancial%2Bcrisis%26acc%3Don%26wc%3Don%26f</b:URL>
    <b:Author>
      <b:Author>
        <b:NameList>
          <b:Person>
            <b:Last>Bridges</b:Last>
            <b:First>Brian</b:First>
          </b:Person>
        </b:NameList>
      </b:Author>
    </b:Author>
    <b:JournalName>Asian Survey</b:JournalName>
    <b:Pages>456-467</b:Pages>
    <b:Volume>39</b:Volume>
    <b:Issue>3</b:Issue>
    <b:RefOrder>6</b:RefOrder>
  </b:Source>
  <b:Source>
    <b:Tag>Els10</b:Tag>
    <b:SourceType>JournalArticle</b:SourceType>
    <b:Guid>{7D13EB11-A8C3-4EDC-9667-7F784A8B620A}</b:Guid>
    <b:Author>
      <b:Author>
        <b:NameList>
          <b:Person>
            <b:Last>Elsig</b:Last>
            <b:First>M.</b:First>
          </b:Person>
        </b:NameList>
      </b:Author>
    </b:Author>
    <b:Title>European Union trade policy after enlargement: larger crowds, shifting priorities and informal decision-making</b:Title>
    <b:JournalName>Journal of European Public Policy</b:JournalName>
    <b:Year>2010</b:Year>
    <b:Pages>781-798</b:Pages>
    <b:Volume>17</b:Volume>
    <b:Issue>6</b:Issue>
    <b:RefOrder>8</b:RefOrder>
  </b:Source>
  <b:Source>
    <b:Tag>Car10</b:Tag>
    <b:SourceType>JournalArticle</b:SourceType>
    <b:Guid>{0BC03E0B-94C8-477C-8519-8AF742DE0FA0}</b:Guid>
    <b:Author>
      <b:Author>
        <b:NameList>
          <b:Person>
            <b:Last>Carbone</b:Last>
            <b:First>M.</b:First>
          </b:Person>
        </b:NameList>
      </b:Author>
    </b:Author>
    <b:Title>The European Union, good governance and aid co-ordination</b:Title>
    <b:JournalName>Third world quarterly</b:JournalName>
    <b:Year>2010</b:Year>
    <b:Pages>13-29</b:Pages>
    <b:Volume>31</b:Volume>
    <b:Issue>1</b:Issue>
    <b:RefOrder>9</b:RefOrder>
  </b:Source>
  <b:Source>
    <b:Tag>ASE212</b:Tag>
    <b:SourceType>DocumentFromInternetSite</b:SourceType>
    <b:Guid>{D91FB42B-BC57-4E38-8803-91333F3FC742}</b:Guid>
    <b:Title>[Press Release] On the Outcomes of the ASEM Senior Officials' Meeting (SOM) Retreat via Videoconference</b:Title>
    <b:Year>2021</b:Year>
    <b:Author>
      <b:Author>
        <b:Corporate>ASEM</b:Corporate>
      </b:Author>
    </b:Author>
    <b:InternetSiteTitle>ASEM13</b:InternetSiteTitle>
    <b:URL>https://asem13.mfaic.gov.kh/Home/news006</b:URL>
    <b:RefOrder>10</b:RefOrder>
  </b:Source>
  <b:Source>
    <b:Tag>ASE203</b:Tag>
    <b:SourceType>DocumentFromInternetSite</b:SourceType>
    <b:Guid>{17F9ADA8-7F28-47E9-AE9D-3ECF1CC9C165}</b:Guid>
    <b:Author>
      <b:Author>
        <b:Corporate>ASEM</b:Corporate>
      </b:Author>
    </b:Author>
    <b:Title>ASEM releases COVID-19 Ministerial Statement</b:Title>
    <b:InternetSiteTitle>Asia and Europe against Coronavirus</b:InternetSiteTitle>
    <b:Year>2020</b:Year>
    <b:URL>https://www.aseminfoboard.org/events/asia-and-europe-against-coronavirus-the-most-vulnerable-must-be-protected</b:URL>
    <b:RefOrder>11</b:RefOrder>
  </b:Source>
  <b:Source>
    <b:Tag>Kai21</b:Tag>
    <b:SourceType>ArticleInAPeriodical</b:SourceType>
    <b:Guid>{613850B2-019B-4316-B32F-66FE53388732}</b:Guid>
    <b:Title>AstraZeneca dispute comes at a difficult moment for the European Union</b:Title>
    <b:Year>2021</b:Year>
    <b:URL>https://theconversation.com/astrazeneca-dispute-comes-at-a-difficult-moment-for-the-european-union-154100</b:URL>
    <b:Author>
      <b:Author>
        <b:NameList>
          <b:Person>
            <b:Last>Kaiser</b:Last>
            <b:First>Wolfram</b:First>
          </b:Person>
        </b:NameList>
      </b:Author>
    </b:Author>
    <b:PeriodicalTitle>The Conversation</b:PeriodicalTitle>
    <b:RefOrder>12</b:RefOrder>
  </b:Source>
  <b:Source>
    <b:Tag>Gar21</b:Tag>
    <b:SourceType>JournalArticle</b:SourceType>
    <b:Guid>{1E9DE273-EE0A-4F4E-A0ED-66A296C53D92}</b:Guid>
    <b:Author>
      <b:Author>
        <b:NameList>
          <b:Person>
            <b:Last>García Cantalapiedra</b:Last>
            <b:First>David</b:First>
          </b:Person>
        </b:NameList>
      </b:Author>
    </b:Author>
    <b:Title>What Role for EU in the Indo-Pacific? EU Power Projection, Asian-European Security Cooperation and the Future of the Multilateral Liberal International Order</b:Title>
    <b:JournalName>Asia-Pacific Journal of EU studies</b:JournalName>
    <b:Year>2021</b:Year>
    <b:Pages>37-53</b:Pages>
    <b:URL>https://www.researchgate.net/publication/348650107_What_Role_for_EU_in_the_Indo-Pacific_EU_Power_Projection_Asian-European_Security_Cooperation_and_the_Future_of_the_Multilateral_Liberal_International_Order_1</b:URL>
    <b:RefOrder>13</b:RefOrder>
  </b:Source>
  <b:Source>
    <b:Tag>Geh20</b:Tag>
    <b:SourceType>JournalArticle</b:SourceType>
    <b:Guid>{F487B15D-AE0E-4FE9-9025-45B947A50031}</b:Guid>
    <b:Author>
      <b:Author>
        <b:NameList>
          <b:Person>
            <b:Last>Gehrke</b:Last>
            <b:First>Tobias</b:First>
          </b:Person>
        </b:NameList>
      </b:Author>
    </b:Author>
    <b:Title>After Covid-19: economic security in EU-Asia connectivity</b:Title>
    <b:JournalName>Asia Europe Journal</b:JournalName>
    <b:Year>2020</b:Year>
    <b:URL>https://doi.org/10.1007/s10308-020-00579-y</b:URL>
    <b:Pages>239-243</b:Pages>
    <b:RefOrder>15</b:RefOrder>
  </b:Source>
  <b:Source>
    <b:Tag>Tha21</b:Tag>
    <b:SourceType>JournalArticle</b:SourceType>
    <b:Guid>{FD48E44F-BF98-43A7-9D72-FC97FB2E9643}</b:Guid>
    <b:Author>
      <b:Author>
        <b:NameList>
          <b:Person>
            <b:Last>Thakur</b:Last>
            <b:First>N.</b:First>
          </b:Person>
          <b:Person>
            <b:Last>Kumar</b:Last>
            <b:First>M.</b:First>
          </b:Person>
        </b:NameList>
      </b:Author>
    </b:Author>
    <b:Title>Stimulating economy via fiscal package: The only way out to save vulnerable Workers' lives and livelihood in Covid‐19 pandemic</b:Title>
    <b:JournalName>Journal of Public Affairs</b:JournalName>
    <b:Year>2021</b:Year>
    <b:Issue>e2632</b:Issue>
    <b:RefOrder>14</b:RefOrder>
  </b:Source>
  <b:Source>
    <b:Tag>Koz19</b:Tag>
    <b:SourceType>InternetSite</b:SourceType>
    <b:Guid>{E1C6287F-2B60-439E-9E0F-9C989998F481}</b:Guid>
    <b:Title>Toward a Global Green New Deal</b:Title>
    <b:Year>2019</b:Year>
    <b:Author>
      <b:Author>
        <b:NameList>
          <b:Person>
            <b:Last>Kozul-Wright</b:Last>
            <b:First>R.</b:First>
          </b:Person>
          <b:Person>
            <b:Last>Gallagher</b:Last>
            <b:First>K.</b:First>
          </b:Person>
        </b:NameList>
      </b:Author>
    </b:Author>
    <b:InternetSiteTitle>UNCTAD</b:InternetSiteTitle>
    <b:URL>https://unctad.org/es/node/2118</b:URL>
    <b:RefOrder>16</b:RefOrder>
  </b:Source>
  <b:Source>
    <b:Tag>Gae15</b:Tag>
    <b:SourceType>BookSection</b:SourceType>
    <b:Guid>{7118804C-B1FE-42B4-9C8D-C1F51D17A2EA}</b:Guid>
    <b:Title>ASEM in the wake of the Milan summit</b:Title>
    <b:Year>2015</b:Year>
    <b:Author>
      <b:Author>
        <b:NameList>
          <b:Person>
            <b:Last>Gaens</b:Last>
            <b:First>B.</b:First>
          </b:Person>
        </b:NameList>
      </b:Author>
    </b:Author>
    <b:BookTitle>The Future of Asia-Europe Cooperation</b:BookTitle>
    <b:Pages>7-11</b:Pages>
    <b:City>Singapore</b:City>
    <b:Publisher>Konrad-Adenauer Stiftung and European Union</b:Publisher>
    <b:RefOrder>17</b:RefOrder>
  </b:Source>
  <b:Source>
    <b:Tag>Ekm202</b:Tag>
    <b:SourceType>Report</b:SourceType>
    <b:Guid>{167A5754-100C-439D-B266-5E56FD1EAE57}</b:Guid>
    <b:Author>
      <b:Author>
        <b:NameList>
          <b:Person>
            <b:Last>Ekman</b:Last>
            <b:First>A.</b:First>
          </b:Person>
        </b:NameList>
      </b:Author>
    </b:Author>
    <b:Title>Europe's Approach Towards Asia: diversification in times of COVID-19</b:Title>
    <b:Year>2020</b:Year>
    <b:Publisher>Council for Security Cooperation in the Asia Pacific</b:Publisher>
    <b:RefOrder>18</b:RefOrder>
  </b:Source>
  <b:Source>
    <b:Tag>Oer20</b:Tag>
    <b:SourceType>JournalArticle</b:SourceType>
    <b:Guid>{55507C87-FD39-4D13-81A0-D94FC4EBCB6D}</b:Guid>
    <b:Author>
      <b:Author>
        <b:NameList>
          <b:Person>
            <b:Last>Oertel</b:Last>
            <b:First>Janka</b:First>
          </b:Person>
          <b:Person>
            <b:Last>Small</b:Last>
            <b:First>Andrew</b:First>
          </b:Person>
        </b:NameList>
      </b:Author>
    </b:Author>
    <b:Title>Promoting European Strategic Sovereingty in Asia</b:Title>
    <b:JournalName>European Council on Foreign Relaations</b:JournalName>
    <b:Year>2020</b:Year>
    <b:URL>https://www.jstor.org/stable/resrep27729</b:URL>
    <b:RefOrder>19</b:RefOrder>
  </b:Source>
  <b:Source>
    <b:Tag>Toy20</b:Tag>
    <b:SourceType>JournalArticle</b:SourceType>
    <b:Guid>{8321ADEF-0993-48AC-8E28-F8C86C37A58B}</b:Guid>
    <b:Author>
      <b:Author>
        <b:NameList>
          <b:Person>
            <b:Last>Toygür</b:Last>
            <b:First>Ilke</b:First>
          </b:Person>
        </b:NameList>
      </b:Author>
    </b:Author>
    <b:Title>The EU, coronavirus and crisis management: is 'solidarity' real or just a prop?</b:Title>
    <b:JournalName>Expert Comment 8/2020 Elcano Royal Institute</b:JournalName>
    <b:Year>2020</b:Year>
    <b:URL>http://www.realinstitutoelcano.org/wps/wcm/connect/0f678b84-6d76-49f6-8f15-fb80ca68e60d/Commentary-Toygur-EU-coronavirus-and-crisis-management-is-solidarity-real-or-just-a-prop.pdf?MOD=AJPERES&amp;CACHEID=0f678b84-6d76-49f6-8f15-fb80ca68e60d</b:URL>
    <b:RefOrder>20</b:RefOrder>
  </b:Source>
  <b:Source>
    <b:Tag>Dee20</b:Tag>
    <b:SourceType>JournalArticle</b:SourceType>
    <b:Guid>{10EEEDA7-3D5F-41EA-A70B-1898EFE713CC}</b:Guid>
    <b:Author>
      <b:Author>
        <b:NameList>
          <b:Person>
            <b:Last>Deen</b:Last>
            <b:First>Bob</b:First>
          </b:Person>
          <b:Person>
            <b:Last>Krujiver</b:Last>
            <b:First>Kimberly</b:First>
          </b:Person>
        </b:NameList>
      </b:Author>
    </b:Author>
    <b:Title>Corona: EU’s existential crisis: Why the lack of solidarity threatens not only the Union’s health and economy, but also its security</b:Title>
    <b:JournalName>Clingendael Institute</b:JournalName>
    <b:Year>2020</b:Year>
    <b:URL>https://www.jstor.org/stable/resrep24647?seq=1#metadata_info_tab_contents</b:URL>
    <b:RefOrder>21</b:RefOrder>
  </b:Source>
  <b:Source>
    <b:Tag>Von20</b:Tag>
    <b:SourceType>InternetSite</b:SourceType>
    <b:Guid>{28B40DE8-0C8E-418E-824E-417637DB0A9D}</b:Guid>
    <b:Title>Speech by President von der Leyen at the European Parliament Plenary on the European coordinated response to the COVID-19 outbreak</b:Title>
    <b:Year>2020</b:Year>
    <b:Author>
      <b:Author>
        <b:NameList>
          <b:Person>
            <b:Last>Von der Leyen</b:Last>
            <b:First>Ursula</b:First>
          </b:Person>
        </b:NameList>
      </b:Author>
    </b:Author>
    <b:InternetSiteTitle>European Commission</b:InternetSiteTitle>
    <b:URL>https://ec.europa.eu/commission/presscorner/detail/en/SPEECH_20_532</b:URL>
    <b:RefOrder>22</b:RefOrder>
  </b:Source>
  <b:Source>
    <b:Tag>Bar21</b:Tag>
    <b:SourceType>JournalArticle</b:SourceType>
    <b:Guid>{7207500C-3FB1-402A-9CA1-26624D9E5A02}</b:Guid>
    <b:Author>
      <b:Author>
        <b:NameList>
          <b:Person>
            <b:Last>Barber</b:Last>
            <b:First>Rebecca</b:First>
          </b:Person>
        </b:NameList>
      </b:Author>
    </b:Author>
    <b:Title>Lack of action over Myanmar coup an indictment on ASEAN</b:Title>
    <b:JournalName>The Strategist (Australian Strategic Policy Institute)</b:JournalName>
    <b:Year>2021</b:Year>
    <b:URL>https://www.aspistrategist.org.au/lack-of-action-over-myanmar-coup-an-indictment-on-asean/</b:URL>
    <b:RefOrder>23</b:RefOrder>
  </b:Source>
  <b:Source>
    <b:Tag>Mis21</b:Tag>
    <b:SourceType>ArticleInAPeriodical</b:SourceType>
    <b:Guid>{2E00B3D3-9D1C-4ABB-ADFE-F5B729E507E2}</b:Guid>
    <b:Title>Why army crackdown in Myanmar is a crisis for ASEAN</b:Title>
    <b:Year>2021</b:Year>
    <b:Author>
      <b:Author>
        <b:NameList>
          <b:Person>
            <b:Last>Mishra</b:Last>
            <b:First>Rahul</b:First>
          </b:Person>
        </b:NameList>
      </b:Author>
    </b:Author>
    <b:PeriodicalTitle>The Indian Express</b:PeriodicalTitle>
    <b:URL>https://indianexpress.com/article/opinion/why-army-crackdown-in-myanmar-is-a-crisis-for-asean-7225736/</b:URL>
    <b:RefOrder>24</b:RefOrder>
  </b:Source>
  <b:Source>
    <b:Tag>Cam10</b:Tag>
    <b:SourceType>JournalArticle</b:SourceType>
    <b:Guid>{70142C0B-2E10-4FD0-9AAB-74C53022DEFB}</b:Guid>
    <b:Author>
      <b:Author>
        <b:NameList>
          <b:Person>
            <b:Last>Camroux</b:Last>
            <b:First>D.</b:First>
          </b:Person>
        </b:NameList>
      </b:Author>
    </b:Author>
    <b:Title>Interregionalism or merely a fourth-level game? An examination of the EU-ASEAN relationship</b:Title>
    <b:JournalName>East Asia</b:JournalName>
    <b:Year>2010</b:Year>
    <b:Pages>57-77</b:Pages>
    <b:Volume>27</b:Volume>
    <b:Issue>1</b:Issue>
    <b:RefOrder>25</b:RefOrder>
  </b:Source>
  <b:Source>
    <b:Tag>All15</b:Tag>
    <b:SourceType>BookSection</b:SourceType>
    <b:Guid>{7061FAC1-A1F5-4A50-9629-A89B1A8D5CB7}</b:Guid>
    <b:Title>Drivers of Interregionalism: EU-ASEAN Engagement</b:Title>
    <b:Year>2015</b:Year>
    <b:Pages>44-75</b:Pages>
    <b:BookTitle>The EU, ASEAN and Interregionalism</b:BookTitle>
    <b:City>London</b:City>
    <b:Publisher>Palgrave Macmillan</b:Publisher>
    <b:Author>
      <b:Author>
        <b:NameList>
          <b:Person>
            <b:Last>Allison</b:Last>
            <b:First>L.</b:First>
          </b:Person>
        </b:NameList>
      </b:Author>
      <b:BookAuthor>
        <b:NameList>
          <b:Person>
            <b:Last>Allison</b:Last>
            <b:First>L.</b:First>
          </b:Person>
        </b:NameList>
      </b:BookAuthor>
    </b:Author>
    <b:RefOrder>26</b:RefOrder>
  </b:Source>
  <b:Source>
    <b:Tag>Hoe20</b:Tag>
    <b:SourceType>BookSection</b:SourceType>
    <b:Guid>{5C084699-3650-48A7-95CB-86866FD9AA8F}</b:Guid>
    <b:Author>
      <b:Author>
        <b:NameList>
          <b:Person>
            <b:Last>Hoekman</b:Last>
            <b:First>B.</b:First>
          </b:Person>
          <b:Person>
            <b:Last>Fiorini</b:Last>
            <b:First>M.</b:First>
          </b:Person>
          <b:Person>
            <b:Last>Yildirim</b:Last>
            <b:First>A.</b:First>
          </b:Person>
        </b:NameList>
      </b:Author>
    </b:Author>
    <b:Title>Covid-19: Export controls and international cooperation</b:Title>
    <b:JournalName>COVID-19 and trade policy: Why turning inward won't work</b:JournalName>
    <b:Year>2020</b:Year>
    <b:Pages>77-87</b:Pages>
    <b:City>London</b:City>
    <b:Publisher>CEPR Press</b:Publisher>
    <b:BookTitle>COVID-19 and trade policy: why turning inward won't work</b:BookTitle>
    <b:RefOrder>27</b:RefOrder>
  </b:Source>
  <b:Source>
    <b:Tag>Fer21</b:Tag>
    <b:SourceType>JournalArticle</b:SourceType>
    <b:Guid>{67FECB73-3E6E-4FBC-9FA4-1D889FD57228}</b:Guid>
    <b:Title>Industrial policy for sustainable human development in the post-Covid19 era</b:Title>
    <b:Year>2021</b:Year>
    <b:Pages>105-215</b:Pages>
    <b:Author>
      <b:Author>
        <b:NameList>
          <b:Person>
            <b:Last>Ferrannini</b:Last>
            <b:First>A.</b:First>
          </b:Person>
          <b:Person>
            <b:Last>Barbieri</b:Last>
            <b:First>E.</b:First>
          </b:Person>
          <b:Person>
            <b:Last>Biggeri</b:Last>
            <b:First>M.</b:First>
          </b:Person>
          <b:Person>
            <b:Last>Di Tommaso</b:Last>
            <b:First>M.</b:First>
            <b:Middle>R.</b:Middle>
          </b:Person>
        </b:NameList>
      </b:Author>
    </b:Author>
    <b:JournalName>World Development</b:JournalName>
    <b:Volume>137</b:Volume>
    <b:RefOrder>28</b:RefOrder>
  </b:Source>
  <b:Source>
    <b:Tag>Kok20</b:Tag>
    <b:SourceType>JournalArticle</b:SourceType>
    <b:Guid>{3865D2D7-5103-4C3F-8BED-FFADB54D439E}</b:Guid>
    <b:Author>
      <b:Author>
        <b:NameList>
          <b:Person>
            <b:Last>Kokudo</b:Last>
            <b:First>N.</b:First>
          </b:Person>
          <b:Person>
            <b:Last>Sugiyama</b:Last>
            <b:First>H.</b:First>
          </b:Person>
        </b:NameList>
      </b:Author>
    </b:Author>
    <b:Title>Call for international cooperation and collaboration to effectively tackle the COVID-19 pandemic</b:Title>
    <b:JournalName>Global Health &amp; Medicine</b:JournalName>
    <b:Year>2020</b:Year>
    <b:Pages>60-62</b:Pages>
    <b:Volume>2</b:Volume>
    <b:Issue>2</b:Issue>
    <b:RefOrder>29</b:RefOrder>
  </b:Source>
  <b:Source>
    <b:Tag>Pev20</b:Tag>
    <b:SourceType>JournalArticle</b:SourceType>
    <b:Guid>{83080422-C372-4EDC-B28E-88DD20B3DEAF}</b:Guid>
    <b:Title>The COVID-19 Pandemic, International Cooperation, and Populism</b:Title>
    <b:Year>2020</b:Year>
    <b:Pages>E-192-E212</b:Pages>
    <b:Author>
      <b:Author>
        <b:NameList>
          <b:Person>
            <b:Last>Pevehouse</b:Last>
            <b:First>J.C.</b:First>
          </b:Person>
        </b:NameList>
      </b:Author>
    </b:Author>
    <b:JournalName>International Organization</b:JournalName>
    <b:Volume>74</b:Volume>
    <b:Issue>S1</b:Issue>
    <b:RefOrder>30</b:RefOrder>
  </b:Source>
  <b:Source>
    <b:Tag>Cam06</b:Tag>
    <b:SourceType>JournalArticle</b:SourceType>
    <b:Guid>{0125DECF-EBEC-435B-B720-19138FF7B5F1}</b:Guid>
    <b:Author>
      <b:Author>
        <b:NameList>
          <b:Person>
            <b:Last>Camroux</b:Last>
            <b:First>D.</b:First>
          </b:Person>
        </b:NameList>
      </b:Author>
    </b:Author>
    <b:Title>The Rise and Decline of the Asia-Europe Meeting (ASEM): Asymmetric Bilateralism and the Limitations of Interregionalism</b:Title>
    <b:JournalName>Les Cahiers Europeens de Sciences Po.</b:JournalName>
    <b:Year>2006</b:Year>
    <b:Volume>4</b:Volume>
    <b:RefOrder>7</b:RefOrder>
  </b:Source>
  <b:Source>
    <b:Tag>Gae18</b:Tag>
    <b:SourceType>Book</b:SourceType>
    <b:Guid>{8659BE98-B47A-493F-96B8-7FF3DCE251BA}</b:Guid>
    <b:Title>Inter-Regional Relations and the Asia-Europe Meeting (ASEM)</b:Title>
    <b:Year>2018</b:Year>
    <b:Author>
      <b:Author>
        <b:NameList>
          <b:Person>
            <b:Last>Gaens</b:Last>
            <b:First>B</b:First>
          </b:Person>
          <b:Person>
            <b:Last>Khandekar</b:Last>
            <b:First>G.</b:First>
          </b:Person>
        </b:NameList>
      </b:Author>
    </b:Author>
    <b:City>London</b:City>
    <b:Publisher>Palgrave Macmillan</b:Publisher>
    <b:DOI>https://doi.org/10.1057/978-1-137-59764-9</b:DOI>
    <b:RefOrder>31</b:RefOrder>
  </b:Source>
  <b:Source>
    <b:Tag>Cam08</b:Tag>
    <b:SourceType>JournalArticle</b:SourceType>
    <b:Guid>{AB0D26F3-004A-4C91-A6AE-946E5D4A70EC}</b:Guid>
    <b:Title>The European Union and ASEAN: Two to Tango?</b:Title>
    <b:Year>2008</b:Year>
    <b:Author>
      <b:Author>
        <b:NameList>
          <b:Person>
            <b:Last>Camroux</b:Last>
            <b:First>D.</b:First>
          </b:Person>
        </b:NameList>
      </b:Author>
    </b:Author>
    <b:JournalName>Notre Europe</b:JournalName>
    <b:RefOrder>32</b:RefOrder>
  </b:Source>
  <b:Source>
    <b:Tag>Rob08</b:Tag>
    <b:SourceType>Book</b:SourceType>
    <b:Guid>{399A45A3-FF16-47EE-A0DB-FBF922F09720}</b:Guid>
    <b:Title>The Asia-Europe Meeting: The Theory and Practice of Interregionalism</b:Title>
    <b:Year>2008</b:Year>
    <b:Publisher>Routledge</b:Publisher>
    <b:Author>
      <b:Author>
        <b:NameList>
          <b:Person>
            <b:Last>Robles</b:Last>
            <b:First>A.</b:First>
          </b:Person>
        </b:NameList>
      </b:Author>
    </b:Author>
    <b:RefOrder>33</b:RefOrder>
  </b:Source>
  <b:Source>
    <b:Tag>Jul20</b:Tag>
    <b:SourceType>JournalArticle</b:SourceType>
    <b:Guid>{850ACCAB-581D-49F6-8DBD-E08BC05ACC0E}</b:Guid>
    <b:Title>Towards a Tougher Bilateral Relations between Eu and China: When Politics Catches Up to the Economy</b:Title>
    <b:Year>2020</b:Year>
    <b:Author>
      <b:Author>
        <b:NameList>
          <b:Person>
            <b:Last>Julienne</b:Last>
            <b:First>M.</b:First>
          </b:Person>
        </b:NameList>
      </b:Author>
    </b:Author>
    <b:JournalName>Lettre du Centre Asia</b:JournalName>
    <b:Volume>84</b:Volume>
    <b:RefOrder>34</b:RefOrder>
  </b:Source>
  <b:Source>
    <b:Tag>Gil12</b:Tag>
    <b:SourceType>BookSection</b:SourceType>
    <b:Guid>{AE8E70BD-2D59-4075-992E-0232AA04B36B}</b:Guid>
    <b:Title>The Asia-Europe Meeting (ASEM)</b:Title>
    <b:Year>2012</b:Year>
    <b:Author>
      <b:Author>
        <b:NameList>
          <b:Person>
            <b:Last>Gilson</b:Last>
            <b:First>J.</b:First>
          </b:Person>
        </b:NameList>
      </b:Author>
      <b:BookAuthor>
        <b:NameList>
          <b:Person>
            <b:Last>Beeson</b:Last>
            <b:First>M.</b:First>
          </b:Person>
          <b:Person>
            <b:Last>Stubbs</b:Last>
            <b:First>R.</b:First>
          </b:Person>
        </b:NameList>
      </b:BookAuthor>
    </b:Author>
    <b:BookTitle>Routledge Handbook of Asian Regionalism</b:BookTitle>
    <b:City>London</b:City>
    <b:Publisher>Routledge</b:Publisher>
    <b:RefOrder>35</b:RefOrder>
  </b:Source>
  <b:Source>
    <b:Tag>Asi21</b:Tag>
    <b:SourceType>InternetSite</b:SourceType>
    <b:Guid>{2C2C6D36-31A7-45B4-A72E-7A22FE009F6E}</b:Guid>
    <b:Title>Overview</b:Title>
    <b:Year>2021</b:Year>
    <b:Author>
      <b:Author>
        <b:Corporate>ASEM</b:Corporate>
      </b:Author>
    </b:Author>
    <b:InternetSiteTitle>ASEM Info Board</b:InternetSiteTitle>
    <b:URL>https://www.aseminfoboard.org/about/overview</b:URL>
    <b:RefOrder>36</b:RefOrder>
  </b:Source>
  <b:Source>
    <b:Tag>Ekm201</b:Tag>
    <b:SourceType>Report</b:SourceType>
    <b:Guid>{E86C2492-7242-4F2D-B537-471835BF4D53}</b:Guid>
    <b:Title>Europe's Approach Towards Asia: diversification in times of COVID-19</b:Title>
    <b:Year>2020</b:Year>
    <b:Author>
      <b:Author>
        <b:NameList>
          <b:Person>
            <b:Last>Ekman</b:Last>
            <b:First>A.</b:First>
          </b:Person>
        </b:NameList>
      </b:Author>
    </b:Author>
    <b:Publisher>Council for Security Cooperation in the Asia Pacific</b:Publisher>
    <b:RefOrder>37</b:RefOrder>
  </b:Source>
</b:Sources>
</file>

<file path=customXml/itemProps1.xml><?xml version="1.0" encoding="utf-8"?>
<ds:datastoreItem xmlns:ds="http://schemas.openxmlformats.org/officeDocument/2006/customXml" ds:itemID="{56E4AC85-EF7C-4876-BC6F-9F2AC2E8E8D1}">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ANZJES_AuthorTemplate 2022.dotx</Template>
  <TotalTime>0</TotalTime>
  <Pages>10</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ANZJES Author Template</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ANZJES Author Template</dc:title>
  <dc:creator>Gosia Klatt</dc:creator>
  <cp:lastModifiedBy>Gosia Klatt</cp:lastModifiedBy>
  <cp:revision>1</cp:revision>
  <cp:lastPrinted>2021-05-16T22:58:00Z</cp:lastPrinted>
  <dcterms:created xsi:type="dcterms:W3CDTF">2022-09-16T05:21:00Z</dcterms:created>
  <dcterms:modified xsi:type="dcterms:W3CDTF">2022-09-16T05:21:00Z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2021-05-15T04:49:51Z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aa46fb2f-23ed-4461-bd91-aed5792a4d39</vt:lpwstr>
  </property>
  <property fmtid="{D5CDD505-2E9C-101B-9397-08002B2CF9AE}" pid="8" name="MSIP_Label_1b52b3a1-dbcb-41fb-a452-370cf542753f_ContentBits">
    <vt:lpwstr>0</vt:lpwstr>
  </property>
</Properties>
</file>